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BC81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C5391D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6E96F55" w14:textId="73AE8F88" w:rsidR="007556F1" w:rsidRDefault="00635B4F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Załącznik nr I do regulaminu - Szczegółowe warunki realizacji przedsięwzięć</w:t>
      </w:r>
    </w:p>
    <w:p w14:paraId="0FAD597D" w14:textId="77777777" w:rsidR="009E644F" w:rsidRPr="005049B5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5D5251" w14:textId="5EA978E0" w:rsidR="005B14FD" w:rsidRPr="005049B5" w:rsidRDefault="00BE5BCB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</w:t>
      </w:r>
      <w:r w:rsidR="003809D4">
        <w:rPr>
          <w:rFonts w:ascii="Tahoma" w:hAnsi="Tahoma" w:cs="Tahoma"/>
          <w:sz w:val="24"/>
          <w:szCs w:val="24"/>
        </w:rPr>
        <w:t>ą</w:t>
      </w:r>
      <w:r w:rsidRPr="005049B5">
        <w:rPr>
          <w:rFonts w:ascii="Tahoma" w:hAnsi="Tahoma" w:cs="Tahoma"/>
          <w:sz w:val="24"/>
          <w:szCs w:val="24"/>
        </w:rPr>
        <w:t xml:space="preserve"> zostać uwzględnione w treści wniosku o dofinansowanie i podlegać będą ocenie. Niespełnieni</w:t>
      </w:r>
      <w:r w:rsidR="003809D4">
        <w:rPr>
          <w:rFonts w:ascii="Tahoma" w:hAnsi="Tahoma" w:cs="Tahoma"/>
          <w:sz w:val="24"/>
          <w:szCs w:val="24"/>
        </w:rPr>
        <w:t>e</w:t>
      </w:r>
      <w:r w:rsidRPr="005049B5">
        <w:rPr>
          <w:rFonts w:ascii="Tahoma" w:hAnsi="Tahoma" w:cs="Tahoma"/>
          <w:sz w:val="24"/>
          <w:szCs w:val="24"/>
        </w:rPr>
        <w:t xml:space="preserve"> któregokolwiek warunku skutkować będzie skierowaniem projektu do poprawy.</w:t>
      </w:r>
    </w:p>
    <w:p w14:paraId="79B92B2C" w14:textId="77777777" w:rsidR="005B14FD" w:rsidRPr="00815E89" w:rsidRDefault="005B14FD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D267D12" w14:textId="526CCBD8" w:rsidR="00B17D29" w:rsidRPr="00815E89" w:rsidRDefault="002D25D9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MUP/</w:t>
      </w:r>
      <w:r w:rsidR="00135C4D" w:rsidRPr="00815E89">
        <w:rPr>
          <w:rFonts w:ascii="Tahoma" w:hAnsi="Tahoma" w:cs="Tahoma"/>
          <w:sz w:val="24"/>
          <w:szCs w:val="24"/>
        </w:rPr>
        <w:t>PUP gwarantuj</w:t>
      </w:r>
      <w:r w:rsidR="00815E89" w:rsidRPr="00815E89">
        <w:rPr>
          <w:rFonts w:ascii="Tahoma" w:hAnsi="Tahoma" w:cs="Tahoma"/>
          <w:sz w:val="24"/>
          <w:szCs w:val="24"/>
        </w:rPr>
        <w:t>ą</w:t>
      </w:r>
      <w:r w:rsidR="00135C4D" w:rsidRPr="00815E89">
        <w:rPr>
          <w:rFonts w:ascii="Tahoma" w:hAnsi="Tahoma" w:cs="Tahoma"/>
          <w:sz w:val="24"/>
          <w:szCs w:val="24"/>
        </w:rPr>
        <w:t xml:space="preserve"> priorytetowe traktowanie wsparcia osób </w:t>
      </w:r>
      <w:r w:rsidRPr="00815E89">
        <w:rPr>
          <w:rFonts w:ascii="Tahoma" w:hAnsi="Tahoma" w:cs="Tahoma"/>
          <w:sz w:val="24"/>
          <w:szCs w:val="24"/>
        </w:rPr>
        <w:t xml:space="preserve">bezrobotnych </w:t>
      </w:r>
      <w:r w:rsidR="00135C4D" w:rsidRPr="00815E89">
        <w:rPr>
          <w:rFonts w:ascii="Tahoma" w:hAnsi="Tahoma" w:cs="Tahoma"/>
          <w:sz w:val="24"/>
          <w:szCs w:val="24"/>
        </w:rPr>
        <w:t>należących do grup znajdujących się w trudnej sytuacji na rynku pracy zidentyfikowanych na poziomie regionalnym</w:t>
      </w:r>
      <w:r w:rsidR="003809D4">
        <w:rPr>
          <w:rFonts w:ascii="Tahoma" w:hAnsi="Tahoma" w:cs="Tahoma"/>
          <w:sz w:val="24"/>
          <w:szCs w:val="24"/>
        </w:rPr>
        <w:t>,</w:t>
      </w:r>
      <w:r w:rsidR="00B17D29" w:rsidRPr="00815E89">
        <w:rPr>
          <w:rFonts w:ascii="Tahoma" w:hAnsi="Tahoma" w:cs="Tahoma"/>
          <w:sz w:val="24"/>
          <w:szCs w:val="24"/>
        </w:rPr>
        <w:t xml:space="preserve"> tj.:</w:t>
      </w:r>
    </w:p>
    <w:p w14:paraId="2F96F03A" w14:textId="544DF07F" w:rsidR="00370743" w:rsidRPr="00815E89" w:rsidRDefault="00370743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- osoby długotrwale bezrobotne,</w:t>
      </w:r>
    </w:p>
    <w:p w14:paraId="7C075B91" w14:textId="4990335A" w:rsidR="00370743" w:rsidRPr="00815E89" w:rsidRDefault="00370743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- kobiety,</w:t>
      </w:r>
    </w:p>
    <w:p w14:paraId="3B3516E3" w14:textId="6FDA51C1" w:rsidR="00B17D29" w:rsidRPr="00815E89" w:rsidRDefault="00B17D29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 xml:space="preserve">- osoby młode w wieku 18-29 lat, w tym osoby z grupy NEET, </w:t>
      </w:r>
    </w:p>
    <w:p w14:paraId="7EBBD029" w14:textId="77777777" w:rsidR="00B17D29" w:rsidRPr="00815E89" w:rsidRDefault="00B17D29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815E89">
        <w:rPr>
          <w:rFonts w:ascii="Tahoma" w:hAnsi="Tahoma" w:cs="Tahoma"/>
          <w:sz w:val="24"/>
          <w:szCs w:val="24"/>
        </w:rPr>
        <w:t>- osoby po 55 roku życia,</w:t>
      </w:r>
    </w:p>
    <w:p w14:paraId="4BB6ABBE" w14:textId="556F46CA" w:rsidR="00815E89" w:rsidRPr="00815E89" w:rsidRDefault="00C639E1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oraz </w:t>
      </w:r>
      <w:r w:rsidR="00815E89" w:rsidRPr="00815E89">
        <w:rPr>
          <w:rFonts w:ascii="Tahoma" w:hAnsi="Tahoma" w:cs="Tahoma"/>
          <w:sz w:val="24"/>
          <w:szCs w:val="24"/>
        </w:rPr>
        <w:t>os</w:t>
      </w:r>
      <w:r>
        <w:rPr>
          <w:rFonts w:ascii="Tahoma" w:hAnsi="Tahoma" w:cs="Tahoma"/>
          <w:sz w:val="24"/>
          <w:szCs w:val="24"/>
        </w:rPr>
        <w:t>ó</w:t>
      </w:r>
      <w:r w:rsidR="00815E89" w:rsidRPr="00815E89">
        <w:rPr>
          <w:rFonts w:ascii="Tahoma" w:hAnsi="Tahoma" w:cs="Tahoma"/>
          <w:sz w:val="24"/>
          <w:szCs w:val="24"/>
        </w:rPr>
        <w:t xml:space="preserve">b, </w:t>
      </w:r>
      <w:bookmarkStart w:id="0" w:name="_Hlk134427897"/>
      <w:r w:rsidR="00815E89" w:rsidRPr="00815E89">
        <w:rPr>
          <w:rFonts w:ascii="Tahoma" w:hAnsi="Tahoma" w:cs="Tahoma"/>
          <w:sz w:val="24"/>
          <w:szCs w:val="24"/>
        </w:rPr>
        <w:t xml:space="preserve">które po agresji Federacji Rosyjskiej na Ukrainę zostały objęte ochroną czasową </w:t>
      </w:r>
      <w:bookmarkEnd w:id="0"/>
      <w:r w:rsidR="00815E89" w:rsidRPr="00815E89">
        <w:rPr>
          <w:rFonts w:ascii="Tahoma" w:hAnsi="Tahoma" w:cs="Tahoma"/>
          <w:sz w:val="24"/>
          <w:szCs w:val="24"/>
        </w:rPr>
        <w:t>(o ile wpisują się w kategorię osób bezrobotnych).</w:t>
      </w:r>
    </w:p>
    <w:p w14:paraId="3D94F729" w14:textId="217F0402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Udzielenie wsparcia w ramach projektów z obszaru zatrudnienia i rynku pracy każdorazowo jest poprzedzone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</w:r>
    </w:p>
    <w:p w14:paraId="43B12D16" w14:textId="634854B7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Wsparcie udzielane w ramach projektów jest dostosowane do indywidualnych potrzeb uczestników projektów, wynikających z ich wiedzy, umiejętności i kompetencji oraz kwalifikacji do wykonywania danego zawodu. Każdy z uczestników projektu otrzymuje ofertę wsparcia, </w:t>
      </w:r>
      <w:r w:rsidRPr="005049B5">
        <w:rPr>
          <w:rFonts w:ascii="Tahoma" w:hAnsi="Tahoma" w:cs="Tahoma"/>
          <w:sz w:val="24"/>
          <w:szCs w:val="24"/>
        </w:rPr>
        <w:lastRenderedPageBreak/>
        <w:t>obejmującą takie formy pomocy, które zostaną zidentyfikowane u niego jako niezbędne w celu poprawy sytuacji na rynku pracy lub uzyskania zatrudnienia.</w:t>
      </w:r>
    </w:p>
    <w:p w14:paraId="4BDAC5AF" w14:textId="22403941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Efektem szkolenia będzie nabycie kwalifikacji lub kompetencji.</w:t>
      </w:r>
    </w:p>
    <w:p w14:paraId="64B377A4" w14:textId="77777777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3C64714F" w14:textId="54EED846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Wsparcie skierowane do:</w:t>
      </w:r>
    </w:p>
    <w:p w14:paraId="6D08C171" w14:textId="66732384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a) osób w wieku 18-29 lat:</w:t>
      </w:r>
    </w:p>
    <w:p w14:paraId="03F1FFAB" w14:textId="77777777" w:rsidR="00AE1DFA" w:rsidRPr="005049B5" w:rsidRDefault="00AE1DFA" w:rsidP="009E644F">
      <w:pPr>
        <w:pStyle w:val="Akapitzlist"/>
        <w:spacing w:line="276" w:lineRule="auto"/>
        <w:ind w:left="1843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i) zarejestrowanych jako bezrobotne;</w:t>
      </w:r>
    </w:p>
    <w:p w14:paraId="75EA0115" w14:textId="0A9D1395" w:rsidR="00AE1DFA" w:rsidRPr="005049B5" w:rsidRDefault="00AE1DFA" w:rsidP="009E644F">
      <w:pPr>
        <w:pStyle w:val="Akapitzlist"/>
        <w:spacing w:line="276" w:lineRule="auto"/>
        <w:ind w:left="1843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ii) należących do kategorii NEET</w:t>
      </w:r>
      <w:r w:rsidR="005049B5" w:rsidRPr="005049B5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5049B5">
        <w:rPr>
          <w:rFonts w:ascii="Tahoma" w:hAnsi="Tahoma" w:cs="Tahoma"/>
          <w:sz w:val="24"/>
          <w:szCs w:val="24"/>
        </w:rPr>
        <w:t>;</w:t>
      </w:r>
    </w:p>
    <w:p w14:paraId="264330B8" w14:textId="1C38AD94" w:rsidR="00AE1DFA" w:rsidRPr="005049B5" w:rsidRDefault="00AE1DFA" w:rsidP="009E644F">
      <w:pPr>
        <w:pStyle w:val="Akapitzlist"/>
        <w:spacing w:line="276" w:lineRule="auto"/>
        <w:ind w:left="1843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iii) będących bezrobotnymi lub poszukującymi pracy absolwentami szkół i uczelni;</w:t>
      </w:r>
    </w:p>
    <w:p w14:paraId="7AB0CC32" w14:textId="5EA758B5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b) osób które opuściły pieczę zastępczą;</w:t>
      </w:r>
    </w:p>
    <w:p w14:paraId="6B9693B2" w14:textId="6DCA1C94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c) kobiet poniżej 30 roku życia wychowujących dzieci</w:t>
      </w:r>
    </w:p>
    <w:p w14:paraId="5E8F1B43" w14:textId="6C72F570" w:rsidR="00AE1DFA" w:rsidRPr="005049B5" w:rsidRDefault="00AE1DFA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– realizowane w ramach projektów PUP,  jest zgodne z zaleceniem Rady z dnia 30 października 2020 r. w sprawie pomostu do zatrudnienia – wzmocnienia gwarancji dla młodzieży oraz zastępującym zalecenie Rady z dnia 22 kwietnia 2013 r. w sprawie ustanowienia gwarancji dla młodzieży i z Planem realizacji Gwarancji dla młodzieży w Polsce. Aktualizacja z 2022 r. z dnia 1 sierpnia 2022 r.6)</w:t>
      </w:r>
      <w:r w:rsidR="002E48F5" w:rsidRPr="005049B5">
        <w:rPr>
          <w:rFonts w:ascii="Tahoma" w:hAnsi="Tahoma" w:cs="Tahoma"/>
          <w:sz w:val="24"/>
          <w:szCs w:val="24"/>
        </w:rPr>
        <w:t>.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6363A37B" w14:textId="602392CB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Wnioskodawca zapewnia, że w przypadku wsparcia skierowanego do osób w wieku 18–29 lat</w:t>
      </w:r>
      <w:r w:rsidR="00FF6BC0" w:rsidRPr="005049B5">
        <w:rPr>
          <w:rFonts w:ascii="Tahoma" w:hAnsi="Tahoma" w:cs="Tahoma"/>
          <w:sz w:val="24"/>
          <w:szCs w:val="24"/>
        </w:rPr>
        <w:t xml:space="preserve"> </w:t>
      </w:r>
      <w:r w:rsidRPr="005049B5">
        <w:rPr>
          <w:rFonts w:ascii="Tahoma" w:hAnsi="Tahoma" w:cs="Tahoma"/>
          <w:sz w:val="24"/>
          <w:szCs w:val="24"/>
        </w:rPr>
        <w:t>udział takiej osoby w projekcie EFS+ jest obligatoryjnie poprzedzony oceną umiejętności cyfrowych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Pr="005049B5">
        <w:rPr>
          <w:rFonts w:ascii="Tahoma" w:hAnsi="Tahoma" w:cs="Tahoma"/>
          <w:sz w:val="24"/>
          <w:szCs w:val="24"/>
        </w:rPr>
        <w:t xml:space="preserve"> </w:t>
      </w:r>
      <w:r w:rsidR="00A06FF9" w:rsidRPr="005049B5">
        <w:rPr>
          <w:rFonts w:ascii="Tahoma" w:hAnsi="Tahoma" w:cs="Tahoma"/>
          <w:sz w:val="24"/>
          <w:szCs w:val="24"/>
        </w:rPr>
        <w:t xml:space="preserve">(w trakcie wykonywania przedmiotowej oceny, należy uwzględnić możliwości psychofizyczne danej osoby) </w:t>
      </w:r>
      <w:r w:rsidRPr="005049B5">
        <w:rPr>
          <w:rFonts w:ascii="Tahoma" w:hAnsi="Tahoma" w:cs="Tahoma"/>
          <w:sz w:val="24"/>
          <w:szCs w:val="24"/>
        </w:rPr>
        <w:t>oraz – w razie potrzeby – uzupełnieniem poziomu kompetencji</w:t>
      </w:r>
      <w:r w:rsidR="00A06FF9" w:rsidRPr="005049B5">
        <w:rPr>
          <w:rFonts w:ascii="Tahoma" w:hAnsi="Tahoma" w:cs="Tahoma"/>
          <w:sz w:val="24"/>
          <w:szCs w:val="24"/>
        </w:rPr>
        <w:t xml:space="preserve">. </w:t>
      </w:r>
      <w:r w:rsidR="00FF6BC0" w:rsidRPr="005049B5">
        <w:rPr>
          <w:rFonts w:ascii="Tahoma" w:hAnsi="Tahoma" w:cs="Tahoma"/>
          <w:sz w:val="24"/>
          <w:szCs w:val="24"/>
        </w:rPr>
        <w:t>Przy czym nacisk powinien zostać położony na umiejętności:</w:t>
      </w:r>
    </w:p>
    <w:p w14:paraId="52DC4587" w14:textId="77777777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cyfrowe;</w:t>
      </w:r>
    </w:p>
    <w:p w14:paraId="67642ECC" w14:textId="47567654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lastRenderedPageBreak/>
        <w:t>- niezbędne do podjęcia pracy w sektorze zielonej gospodarki;</w:t>
      </w:r>
    </w:p>
    <w:p w14:paraId="09643CDA" w14:textId="19A005C3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- niezbędne w branżach: metalowo-odlewniczej, </w:t>
      </w:r>
      <w:proofErr w:type="spellStart"/>
      <w:r w:rsidRPr="005049B5">
        <w:rPr>
          <w:rFonts w:ascii="Tahoma" w:hAnsi="Tahoma" w:cs="Tahoma"/>
          <w:sz w:val="24"/>
          <w:szCs w:val="24"/>
        </w:rPr>
        <w:t>zasobooszczędnym</w:t>
      </w:r>
      <w:proofErr w:type="spellEnd"/>
      <w:r w:rsidRPr="005049B5">
        <w:rPr>
          <w:rFonts w:ascii="Tahoma" w:hAnsi="Tahoma" w:cs="Tahoma"/>
          <w:sz w:val="24"/>
          <w:szCs w:val="24"/>
        </w:rPr>
        <w:t xml:space="preserve"> budownictwie, turystyce zdrowotnej i prozdrowotnej, nowoczesnym rolnictwie i przetwórstwie spożywczym;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4"/>
      </w:r>
    </w:p>
    <w:p w14:paraId="76DE6A2D" w14:textId="67FB223F" w:rsidR="00563227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zawodach związanych z usługami</w:t>
      </w:r>
      <w:r w:rsidR="00FF6BC0" w:rsidRPr="005049B5">
        <w:rPr>
          <w:rFonts w:ascii="Tahoma" w:hAnsi="Tahoma" w:cs="Tahoma"/>
          <w:sz w:val="24"/>
          <w:szCs w:val="24"/>
        </w:rPr>
        <w:t xml:space="preserve"> zdrowotnymi i opiekuńczymi</w:t>
      </w:r>
      <w:r w:rsidRPr="005049B5">
        <w:rPr>
          <w:rFonts w:ascii="Tahoma" w:hAnsi="Tahoma" w:cs="Tahoma"/>
          <w:sz w:val="24"/>
          <w:szCs w:val="24"/>
        </w:rPr>
        <w:t>.</w:t>
      </w:r>
    </w:p>
    <w:p w14:paraId="5AACC460" w14:textId="114FE95E" w:rsidR="00C8549A" w:rsidRPr="005049B5" w:rsidRDefault="00C8549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Projekty </w:t>
      </w:r>
      <w:r w:rsidR="003809D4">
        <w:rPr>
          <w:rFonts w:ascii="Tahoma" w:hAnsi="Tahoma" w:cs="Tahoma"/>
          <w:sz w:val="24"/>
          <w:szCs w:val="24"/>
        </w:rPr>
        <w:t>niekonkurencyjne</w:t>
      </w:r>
      <w:r w:rsidR="003809D4" w:rsidRPr="005049B5">
        <w:rPr>
          <w:rFonts w:ascii="Tahoma" w:hAnsi="Tahoma" w:cs="Tahoma"/>
          <w:sz w:val="24"/>
          <w:szCs w:val="24"/>
        </w:rPr>
        <w:t xml:space="preserve"> </w:t>
      </w:r>
      <w:r w:rsidR="00754963" w:rsidRPr="00754963">
        <w:rPr>
          <w:rFonts w:ascii="Tahoma" w:hAnsi="Tahoma" w:cs="Tahoma"/>
          <w:sz w:val="24"/>
          <w:szCs w:val="24"/>
        </w:rPr>
        <w:t>MUP/PUP</w:t>
      </w:r>
      <w:r w:rsidRPr="005049B5">
        <w:rPr>
          <w:rFonts w:ascii="Tahoma" w:hAnsi="Tahoma" w:cs="Tahoma"/>
          <w:sz w:val="24"/>
          <w:szCs w:val="24"/>
        </w:rPr>
        <w:t xml:space="preserve"> </w:t>
      </w:r>
      <w:r w:rsidR="00BE6C3A">
        <w:rPr>
          <w:rFonts w:ascii="Tahoma" w:hAnsi="Tahoma" w:cs="Tahoma"/>
          <w:sz w:val="24"/>
          <w:szCs w:val="24"/>
        </w:rPr>
        <w:t>mogą być</w:t>
      </w:r>
      <w:r w:rsidR="00BE6C3A" w:rsidRPr="005049B5">
        <w:rPr>
          <w:rFonts w:ascii="Tahoma" w:hAnsi="Tahoma" w:cs="Tahoma"/>
          <w:sz w:val="24"/>
          <w:szCs w:val="24"/>
        </w:rPr>
        <w:t xml:space="preserve"> </w:t>
      </w:r>
      <w:r w:rsidRPr="005049B5">
        <w:rPr>
          <w:rFonts w:ascii="Tahoma" w:hAnsi="Tahoma" w:cs="Tahoma"/>
          <w:sz w:val="24"/>
          <w:szCs w:val="24"/>
        </w:rPr>
        <w:t xml:space="preserve">realizowane w okresie od 1 stycznia 2023 r. do 30 czerwca 2024 r. Istnieje możliwość ponoszenia wydatków w projekcie przed podpisaniem umowy o dofinansowanie. Warunkiem uznania wydatków poniesionych przed podpisaniem umowy o dofinansowanie projektu </w:t>
      </w:r>
      <w:r w:rsidR="00754963" w:rsidRPr="00754963">
        <w:rPr>
          <w:rFonts w:ascii="Tahoma" w:hAnsi="Tahoma" w:cs="Tahoma"/>
          <w:sz w:val="24"/>
          <w:szCs w:val="24"/>
        </w:rPr>
        <w:t>MUP/PUP</w:t>
      </w:r>
      <w:r w:rsidRPr="005049B5">
        <w:rPr>
          <w:rFonts w:ascii="Tahoma" w:hAnsi="Tahoma" w:cs="Tahoma"/>
          <w:sz w:val="24"/>
          <w:szCs w:val="24"/>
        </w:rPr>
        <w:t xml:space="preserve"> za kwalifikowalne jest ich zgodność z Wytycznymi kwalifikowalności oraz z zakresem realizowanego wsparcia finansowanego ze środków FP z zatwierdzonym wnioskiem o dofinansowanie.</w:t>
      </w:r>
    </w:p>
    <w:p w14:paraId="07360C72" w14:textId="6602DA01" w:rsidR="00DC7DDE" w:rsidRDefault="00DC7DDE" w:rsidP="009E644F">
      <w:pPr>
        <w:pStyle w:val="Akapitzlist"/>
        <w:numPr>
          <w:ilvl w:val="0"/>
          <w:numId w:val="1"/>
        </w:numPr>
        <w:spacing w:line="276" w:lineRule="auto"/>
        <w:ind w:left="1134" w:hanging="425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 xml:space="preserve">W ramach projektów </w:t>
      </w:r>
      <w:r w:rsidR="00754963" w:rsidRPr="00754963">
        <w:rPr>
          <w:rFonts w:ascii="Tahoma" w:hAnsi="Tahoma" w:cs="Tahoma"/>
          <w:sz w:val="24"/>
          <w:szCs w:val="24"/>
        </w:rPr>
        <w:t>MUP/PUP</w:t>
      </w:r>
      <w:r w:rsidRPr="005049B5">
        <w:rPr>
          <w:rFonts w:ascii="Tahoma" w:hAnsi="Tahoma" w:cs="Tahoma"/>
          <w:sz w:val="24"/>
          <w:szCs w:val="24"/>
        </w:rPr>
        <w:t xml:space="preserve"> współfinansowanych ze środków Funduszu Pracy nie są kwalifikowalne koszty pośrednie.</w:t>
      </w:r>
    </w:p>
    <w:p w14:paraId="4A2E1D17" w14:textId="443C271C" w:rsidR="00285923" w:rsidRPr="005049B5" w:rsidRDefault="00285923" w:rsidP="009E644F">
      <w:pPr>
        <w:pStyle w:val="Akapitzlist"/>
        <w:numPr>
          <w:ilvl w:val="0"/>
          <w:numId w:val="1"/>
        </w:numPr>
        <w:spacing w:line="276" w:lineRule="auto"/>
        <w:ind w:left="1134" w:hanging="425"/>
        <w:rPr>
          <w:rFonts w:ascii="Tahoma" w:hAnsi="Tahoma" w:cs="Tahoma"/>
          <w:sz w:val="24"/>
          <w:szCs w:val="24"/>
        </w:rPr>
      </w:pPr>
      <w:r w:rsidRPr="00285923">
        <w:rPr>
          <w:rFonts w:ascii="Tahoma" w:hAnsi="Tahoma" w:cs="Tahoma"/>
          <w:sz w:val="24"/>
          <w:szCs w:val="24"/>
        </w:rPr>
        <w:t xml:space="preserve">Wsparcie na rzecz osób długotrwale bezrobotnych </w:t>
      </w:r>
      <w:r>
        <w:rPr>
          <w:rFonts w:ascii="Tahoma" w:hAnsi="Tahoma" w:cs="Tahoma"/>
          <w:sz w:val="24"/>
          <w:szCs w:val="24"/>
        </w:rPr>
        <w:t>będzie</w:t>
      </w:r>
      <w:r w:rsidRPr="00285923">
        <w:rPr>
          <w:rFonts w:ascii="Tahoma" w:hAnsi="Tahoma" w:cs="Tahoma"/>
          <w:sz w:val="24"/>
          <w:szCs w:val="24"/>
        </w:rPr>
        <w:t xml:space="preserve"> realizowane i monitorowane zgodnie z zaleceniami Europejskiego Trybunału Obrachunkowego wskazanymi w Sprawozdaniu specjalnym 25/2021 „Wsparcie z EFS na rzecz zwalczania bezrobocia długotrwałego – działania muszą być lepiej ukierunkowane i monitorowane oraz bardziej dostosowane do potrzeb”</w:t>
      </w:r>
      <w:r w:rsidR="00BE6C3A">
        <w:rPr>
          <w:rStyle w:val="Odwoanieprzypisudolnego"/>
          <w:rFonts w:ascii="Tahoma" w:hAnsi="Tahoma" w:cs="Tahoma"/>
          <w:sz w:val="24"/>
          <w:szCs w:val="24"/>
        </w:rPr>
        <w:footnoteReference w:id="5"/>
      </w:r>
      <w:r w:rsidRPr="00285923">
        <w:rPr>
          <w:rFonts w:ascii="Tahoma" w:hAnsi="Tahoma" w:cs="Tahoma"/>
          <w:sz w:val="24"/>
          <w:szCs w:val="24"/>
        </w:rPr>
        <w:t>.</w:t>
      </w:r>
    </w:p>
    <w:sectPr w:rsidR="00285923" w:rsidRPr="005049B5" w:rsidSect="009E644F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B43D" w14:textId="77777777" w:rsidR="002B3FEF" w:rsidRDefault="002B3FEF" w:rsidP="00AE1DFA">
      <w:pPr>
        <w:spacing w:after="0" w:line="240" w:lineRule="auto"/>
      </w:pPr>
      <w:r>
        <w:separator/>
      </w:r>
    </w:p>
  </w:endnote>
  <w:endnote w:type="continuationSeparator" w:id="0">
    <w:p w14:paraId="5638D016" w14:textId="77777777" w:rsidR="002B3FEF" w:rsidRDefault="002B3FEF" w:rsidP="00AE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E644F" w:rsidRPr="00951C59" w14:paraId="3CDC0FDB" w14:textId="77777777" w:rsidTr="00ED2F0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755B830" w14:textId="3C033A7F" w:rsidR="009E644F" w:rsidRPr="00951C59" w:rsidRDefault="009807C8" w:rsidP="009E644F">
          <w:pPr>
            <w:rPr>
              <w:rFonts w:ascii="Tahoma" w:hAnsi="Tahoma" w:cs="Tahoma"/>
              <w:b/>
              <w:color w:val="000000"/>
              <w:sz w:val="16"/>
              <w:szCs w:val="16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62E7E00B" wp14:editId="748AF1E4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E87B27F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     </w:t>
          </w:r>
        </w:p>
        <w:p w14:paraId="36D7A0A8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093B23E0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>ul. Witosa 86, 25-561 Kielce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  <w:t>tel.: (048) 41 364-16-00, fax: (048) 41 364-16-66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</w:r>
          <w:r w:rsidRPr="00951C59">
            <w:rPr>
              <w:rFonts w:ascii="Tahoma" w:hAnsi="Tahoma" w:cs="Tahoma"/>
              <w:sz w:val="16"/>
              <w:szCs w:val="16"/>
            </w:rPr>
            <w:t>e-mail: wup@wup.kielce.pl,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7A905767" w14:textId="77777777" w:rsidR="009E644F" w:rsidRDefault="009E6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EDED" w14:textId="77777777" w:rsidR="002B3FEF" w:rsidRDefault="002B3FEF" w:rsidP="00AE1DFA">
      <w:pPr>
        <w:spacing w:after="0" w:line="240" w:lineRule="auto"/>
      </w:pPr>
      <w:r>
        <w:separator/>
      </w:r>
    </w:p>
  </w:footnote>
  <w:footnote w:type="continuationSeparator" w:id="0">
    <w:p w14:paraId="2A03AC39" w14:textId="77777777" w:rsidR="002B3FEF" w:rsidRDefault="002B3FEF" w:rsidP="00AE1DFA">
      <w:pPr>
        <w:spacing w:after="0" w:line="240" w:lineRule="auto"/>
      </w:pPr>
      <w:r>
        <w:continuationSeparator/>
      </w:r>
    </w:p>
  </w:footnote>
  <w:footnote w:id="1">
    <w:p w14:paraId="11DD393A" w14:textId="77777777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049B5">
        <w:rPr>
          <w:rFonts w:ascii="Tahoma" w:hAnsi="Tahoma" w:cs="Tahoma"/>
          <w:sz w:val="16"/>
          <w:szCs w:val="16"/>
        </w:rPr>
        <w:t xml:space="preserve">osoba z kategorii NEET (ang. not in </w:t>
      </w:r>
      <w:proofErr w:type="spellStart"/>
      <w:r w:rsidRPr="005049B5">
        <w:rPr>
          <w:rFonts w:ascii="Tahoma" w:hAnsi="Tahoma" w:cs="Tahoma"/>
          <w:sz w:val="16"/>
          <w:szCs w:val="16"/>
        </w:rPr>
        <w:t>employment</w:t>
      </w:r>
      <w:proofErr w:type="spellEnd"/>
      <w:r w:rsidRPr="005049B5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5049B5">
        <w:rPr>
          <w:rFonts w:ascii="Tahoma" w:hAnsi="Tahoma" w:cs="Tahoma"/>
          <w:sz w:val="16"/>
          <w:szCs w:val="16"/>
        </w:rPr>
        <w:t>education</w:t>
      </w:r>
      <w:proofErr w:type="spellEnd"/>
      <w:r w:rsidRPr="005049B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049B5">
        <w:rPr>
          <w:rFonts w:ascii="Tahoma" w:hAnsi="Tahoma" w:cs="Tahoma"/>
          <w:sz w:val="16"/>
          <w:szCs w:val="16"/>
        </w:rPr>
        <w:t>or</w:t>
      </w:r>
      <w:proofErr w:type="spellEnd"/>
      <w:r w:rsidRPr="005049B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049B5">
        <w:rPr>
          <w:rFonts w:ascii="Tahoma" w:hAnsi="Tahoma" w:cs="Tahoma"/>
          <w:sz w:val="16"/>
          <w:szCs w:val="16"/>
        </w:rPr>
        <w:t>training</w:t>
      </w:r>
      <w:proofErr w:type="spellEnd"/>
      <w:r w:rsidRPr="005049B5">
        <w:rPr>
          <w:rFonts w:ascii="Tahoma" w:hAnsi="Tahoma" w:cs="Tahoma"/>
          <w:sz w:val="16"/>
          <w:szCs w:val="16"/>
        </w:rPr>
        <w:t>) – osoba w wieku 15–29 lat, która spełnia łącznie trzy następujące warunki:</w:t>
      </w:r>
    </w:p>
    <w:p w14:paraId="6EE91D24" w14:textId="77777777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a) nie pracuje (tj. jest bezrobotna lub bierna zawodowo);</w:t>
      </w:r>
    </w:p>
    <w:p w14:paraId="7B5DD2B2" w14:textId="3E078395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b) nie kształci się (tj. nie uczestniczy w kształceniu formalnym w trybie</w:t>
      </w:r>
      <w:r w:rsidR="00367CD8">
        <w:rPr>
          <w:rFonts w:ascii="Tahoma" w:hAnsi="Tahoma" w:cs="Tahoma"/>
          <w:sz w:val="16"/>
          <w:szCs w:val="16"/>
        </w:rPr>
        <w:t xml:space="preserve"> </w:t>
      </w:r>
      <w:r w:rsidRPr="005049B5">
        <w:rPr>
          <w:rFonts w:ascii="Tahoma" w:hAnsi="Tahoma" w:cs="Tahoma"/>
          <w:sz w:val="16"/>
          <w:szCs w:val="16"/>
        </w:rPr>
        <w:t>stacjonarnym albo zaniedbuje obowiązek szkolny lub nauki);</w:t>
      </w:r>
    </w:p>
    <w:p w14:paraId="4704FD4A" w14:textId="03F4B57D" w:rsidR="005049B5" w:rsidRPr="005049B5" w:rsidRDefault="005049B5" w:rsidP="005049B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c) nie szkoli się (tj. nie uczestniczy w pozaszkolnych zajęciach mających na celu uzyskanie, uzupełnienie lub doskonalenie umiejętności i kwalifikacji zawodowych lub ogólnych, potrzebnych do wykonywania pracy; w procesie oceny czy dana osoba się nie szkoli, a co za tym idzie kwalifikuje się do kategorii NEET, należy zweryfikować czy brała ona udział w tego typu formie aktywizacji, finansowanej ze środków publicznych, w okresie ostatnich 4 tygodni);</w:t>
      </w:r>
    </w:p>
  </w:footnote>
  <w:footnote w:id="2">
    <w:p w14:paraId="15205DFA" w14:textId="77777777" w:rsidR="00AE1DFA" w:rsidRPr="005049B5" w:rsidRDefault="00AE1DFA" w:rsidP="00AE1DFA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Plan realizacji Gwarancji dla młodzieży dostępny jest na stronie Gwarancji dla młodzieży:</w:t>
      </w:r>
    </w:p>
    <w:p w14:paraId="091FB9F6" w14:textId="15C200A3" w:rsidR="00AE1DFA" w:rsidRPr="005049B5" w:rsidRDefault="00AE1DFA" w:rsidP="00AE1DFA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https://dlamlodych.praca.gov.pl/-/18824829-aktualizacja-planu-realizacji-gwarancji-dla-mlodziezy-wpolsce</w:t>
      </w:r>
    </w:p>
  </w:footnote>
  <w:footnote w:id="3">
    <w:p w14:paraId="640909C4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Z wykorzystaniem „Europejskiego narzędzia do oceny poziomu kompetencji cyfrowych”</w:t>
      </w:r>
    </w:p>
    <w:p w14:paraId="49C89B90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(https://europa.eu/europass/digitalskills/screen/questionnaire/generic) lub innego narzędzia</w:t>
      </w:r>
    </w:p>
    <w:p w14:paraId="3004CAB7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rekomendowanego i udostępnionego przez ministra właściwego do spraw pracy, który odpowiada za</w:t>
      </w:r>
    </w:p>
    <w:p w14:paraId="296F18F2" w14:textId="42E19B6F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nadzór nad realizacją Gwarancji dla młodzieży w Polsce.</w:t>
      </w:r>
    </w:p>
  </w:footnote>
  <w:footnote w:id="4">
    <w:p w14:paraId="2B09CE2D" w14:textId="7EECB6F4" w:rsidR="002E48F5" w:rsidRDefault="002E48F5">
      <w:pPr>
        <w:pStyle w:val="Tekstprzypisudolnego"/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</w:r>
    </w:p>
  </w:footnote>
  <w:footnote w:id="5">
    <w:p w14:paraId="13983E89" w14:textId="77777777" w:rsidR="00BE6C3A" w:rsidRDefault="00BE6C3A" w:rsidP="00BE6C3A">
      <w:pPr>
        <w:pStyle w:val="Tekstprzypisudolnego"/>
      </w:pPr>
      <w:r>
        <w:rPr>
          <w:rStyle w:val="Odwoanieprzypisudolnego"/>
        </w:rPr>
        <w:footnoteRef/>
      </w:r>
      <w:r>
        <w:t xml:space="preserve"> Dokument jest dostępny na stronie:</w:t>
      </w:r>
    </w:p>
    <w:p w14:paraId="52B541F3" w14:textId="52A3B7F4" w:rsidR="00BE6C3A" w:rsidRDefault="00BE6C3A" w:rsidP="00BE6C3A">
      <w:pPr>
        <w:pStyle w:val="Tekstprzypisudolnego"/>
      </w:pPr>
      <w:r>
        <w:t>https://www.eca.europa.eu/Lists/ECADocuments/SR21_25/SR_Long-term_unemployment_PL.pdf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C90F" w14:textId="390B0B37" w:rsidR="009E644F" w:rsidRDefault="009E644F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77BA01C3" wp14:editId="40CFB3E5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7F5"/>
    <w:multiLevelType w:val="hybridMultilevel"/>
    <w:tmpl w:val="5F1AD300"/>
    <w:lvl w:ilvl="0" w:tplc="B5E2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CBC"/>
    <w:multiLevelType w:val="hybridMultilevel"/>
    <w:tmpl w:val="6330A9DE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A042303"/>
    <w:multiLevelType w:val="hybridMultilevel"/>
    <w:tmpl w:val="6330A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24364C9"/>
    <w:multiLevelType w:val="hybridMultilevel"/>
    <w:tmpl w:val="8E84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B0267"/>
    <w:multiLevelType w:val="hybridMultilevel"/>
    <w:tmpl w:val="A25E635C"/>
    <w:lvl w:ilvl="0" w:tplc="63DC4C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8318">
    <w:abstractNumId w:val="4"/>
  </w:num>
  <w:num w:numId="2" w16cid:durableId="31224241">
    <w:abstractNumId w:val="0"/>
  </w:num>
  <w:num w:numId="3" w16cid:durableId="1949314111">
    <w:abstractNumId w:val="3"/>
  </w:num>
  <w:num w:numId="4" w16cid:durableId="772431952">
    <w:abstractNumId w:val="2"/>
  </w:num>
  <w:num w:numId="5" w16cid:durableId="119839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7"/>
    <w:rsid w:val="000C6CCD"/>
    <w:rsid w:val="000D71F6"/>
    <w:rsid w:val="00135C4D"/>
    <w:rsid w:val="001827AD"/>
    <w:rsid w:val="00215BAE"/>
    <w:rsid w:val="00253457"/>
    <w:rsid w:val="00285923"/>
    <w:rsid w:val="002B3FEF"/>
    <w:rsid w:val="002D25D9"/>
    <w:rsid w:val="002E48F5"/>
    <w:rsid w:val="00302F74"/>
    <w:rsid w:val="00367CD8"/>
    <w:rsid w:val="00370743"/>
    <w:rsid w:val="00377E59"/>
    <w:rsid w:val="003809D4"/>
    <w:rsid w:val="003E6D8B"/>
    <w:rsid w:val="004A781B"/>
    <w:rsid w:val="005049B5"/>
    <w:rsid w:val="00522BD0"/>
    <w:rsid w:val="00563227"/>
    <w:rsid w:val="005B14FD"/>
    <w:rsid w:val="00603657"/>
    <w:rsid w:val="00635B4F"/>
    <w:rsid w:val="006C0F5C"/>
    <w:rsid w:val="00754963"/>
    <w:rsid w:val="007556F1"/>
    <w:rsid w:val="00762F84"/>
    <w:rsid w:val="00775420"/>
    <w:rsid w:val="00776348"/>
    <w:rsid w:val="00815E89"/>
    <w:rsid w:val="0096767F"/>
    <w:rsid w:val="009807C8"/>
    <w:rsid w:val="00986686"/>
    <w:rsid w:val="009E644F"/>
    <w:rsid w:val="00A04F14"/>
    <w:rsid w:val="00A06FF9"/>
    <w:rsid w:val="00AE1DFA"/>
    <w:rsid w:val="00B17D29"/>
    <w:rsid w:val="00B927B0"/>
    <w:rsid w:val="00BE5BCB"/>
    <w:rsid w:val="00BE6C3A"/>
    <w:rsid w:val="00C639E1"/>
    <w:rsid w:val="00C8549A"/>
    <w:rsid w:val="00DC7DDE"/>
    <w:rsid w:val="00DD263B"/>
    <w:rsid w:val="00F21037"/>
    <w:rsid w:val="00F43C0F"/>
    <w:rsid w:val="00F53B5B"/>
    <w:rsid w:val="00FE340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3E2"/>
  <w15:chartTrackingRefBased/>
  <w15:docId w15:val="{239681BE-67BC-40B9-92CC-663F011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4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D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4F"/>
  </w:style>
  <w:style w:type="paragraph" w:styleId="Stopka">
    <w:name w:val="footer"/>
    <w:basedOn w:val="Normalny"/>
    <w:link w:val="Stopka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4F"/>
  </w:style>
  <w:style w:type="table" w:styleId="Tabela-Siatka">
    <w:name w:val="Table Grid"/>
    <w:basedOn w:val="Standardowy"/>
    <w:uiPriority w:val="59"/>
    <w:rsid w:val="009E64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0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FC22-807F-4CD6-958D-3DF4535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Sołtys</cp:lastModifiedBy>
  <cp:revision>7</cp:revision>
  <dcterms:created xsi:type="dcterms:W3CDTF">2023-05-12T12:13:00Z</dcterms:created>
  <dcterms:modified xsi:type="dcterms:W3CDTF">2023-08-17T08:36:00Z</dcterms:modified>
</cp:coreProperties>
</file>