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771B" w14:textId="6A1835FC" w:rsidR="00EA6E0C" w:rsidRPr="00732C30" w:rsidRDefault="00732C30" w:rsidP="00934DF0">
      <w:pPr>
        <w:pBdr>
          <w:bottom w:val="single" w:sz="4" w:space="1" w:color="auto"/>
        </w:pBdr>
        <w:spacing w:after="100" w:afterAutospacing="1" w:line="240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934DF0">
        <w:rPr>
          <w:rFonts w:ascii="Arial" w:hAnsi="Arial" w:cs="Arial"/>
          <w:b/>
          <w:bCs/>
          <w:sz w:val="22"/>
          <w:szCs w:val="22"/>
        </w:rPr>
        <w:t>Załącznik nr 12</w:t>
      </w:r>
      <w:r w:rsidRPr="00732C30">
        <w:rPr>
          <w:rFonts w:ascii="Arial" w:hAnsi="Arial" w:cs="Arial"/>
          <w:sz w:val="22"/>
          <w:szCs w:val="22"/>
        </w:rPr>
        <w:t xml:space="preserve"> do Regulaminu Pracy Komisji Oceny Projektów oraz Procedury Oceny Projektów wybieranych w sposób konkurencyjny i niekonkurencyjny współfinansowanych </w:t>
      </w:r>
      <w:r>
        <w:rPr>
          <w:rFonts w:ascii="Arial" w:hAnsi="Arial" w:cs="Arial"/>
          <w:sz w:val="22"/>
          <w:szCs w:val="22"/>
        </w:rPr>
        <w:br/>
      </w:r>
      <w:r w:rsidRPr="00732C30">
        <w:rPr>
          <w:rFonts w:ascii="Arial" w:hAnsi="Arial" w:cs="Arial"/>
          <w:sz w:val="22"/>
          <w:szCs w:val="22"/>
        </w:rPr>
        <w:t>z Europejskiego Funduszu Społecznego Plus (EFS+) w ramach programu regionalnego Fundusze Europejskie dla Świętokrzyskiego 2021-2027</w:t>
      </w:r>
      <w:r w:rsidR="004D64FD" w:rsidRPr="00732C3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4D64FD" w:rsidRPr="00732C30">
        <w:rPr>
          <w:rFonts w:ascii="Arial" w:hAnsi="Arial" w:cs="Arial"/>
          <w:i/>
          <w:iCs/>
          <w:sz w:val="22"/>
          <w:szCs w:val="22"/>
        </w:rPr>
        <w:t>Zasady wynagradzania ekspertów.</w:t>
      </w:r>
    </w:p>
    <w:p w14:paraId="26E40E11" w14:textId="207F161F" w:rsidR="00EA6E0C" w:rsidRPr="00EA6E0C" w:rsidRDefault="00EA6E0C" w:rsidP="00EA6E0C">
      <w:pPr>
        <w:spacing w:after="100" w:afterAutospacing="1" w:line="276" w:lineRule="auto"/>
        <w:jc w:val="center"/>
        <w:rPr>
          <w:rFonts w:ascii="Arial" w:hAnsi="Arial" w:cs="Arial"/>
          <w:b/>
          <w:bCs/>
        </w:rPr>
      </w:pPr>
      <w:r w:rsidRPr="00EA6E0C">
        <w:rPr>
          <w:rFonts w:ascii="Arial" w:hAnsi="Arial" w:cs="Arial"/>
          <w:b/>
          <w:bCs/>
        </w:rPr>
        <w:t>ZASADY WYNAGRADZANIA EKSPERTÓW</w:t>
      </w:r>
    </w:p>
    <w:p w14:paraId="15FC6F6E" w14:textId="77777777" w:rsidR="00EA6E0C" w:rsidRPr="00EA6E0C" w:rsidRDefault="00EA6E0C" w:rsidP="00EA6E0C">
      <w:pPr>
        <w:spacing w:after="160" w:line="276" w:lineRule="auto"/>
        <w:rPr>
          <w:rFonts w:ascii="Arial" w:hAnsi="Arial" w:cs="Arial"/>
        </w:rPr>
      </w:pPr>
      <w:r w:rsidRPr="00EA6E0C">
        <w:rPr>
          <w:rFonts w:ascii="Arial" w:hAnsi="Arial" w:cs="Arial"/>
        </w:rPr>
        <w:t>Dotyczy: określenia stawek wynagradzania ekspertów oceniających wnioski o dofinansowanie projektów w ramach programu regionalnego Fundusze Europejskie dla Świętokrzyskiego 2021-2027 dla działań finansowanych z Europejskiego Funduszu Społecznego Plus (EFS+).</w:t>
      </w:r>
    </w:p>
    <w:p w14:paraId="104B8CDB" w14:textId="19D86E5C" w:rsidR="00EA6E0C" w:rsidRPr="00EA6E0C" w:rsidRDefault="00EA6E0C" w:rsidP="00EA6E0C">
      <w:pPr>
        <w:spacing w:after="160" w:line="276" w:lineRule="auto"/>
        <w:rPr>
          <w:rFonts w:ascii="Arial" w:hAnsi="Arial" w:cs="Arial"/>
        </w:rPr>
      </w:pPr>
      <w:r w:rsidRPr="00EA6E0C">
        <w:rPr>
          <w:rFonts w:ascii="Arial" w:hAnsi="Arial" w:cs="Arial"/>
        </w:rPr>
        <w:t>Podstawa prawna: art. 83 ust. 1 ustawy z dnia 28 kwietnia 2022 r. o zasadach realizacji zadań finansowanych ze środków europejskich w perspektywie finansowej 2021-2027.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664"/>
        <w:gridCol w:w="4111"/>
      </w:tblGrid>
      <w:tr w:rsidR="00EA6E0C" w:rsidRPr="00EA6E0C" w14:paraId="6EC9CC6C" w14:textId="77777777" w:rsidTr="00136810">
        <w:trPr>
          <w:trHeight w:val="666"/>
          <w:jc w:val="center"/>
        </w:trPr>
        <w:tc>
          <w:tcPr>
            <w:tcW w:w="576" w:type="dxa"/>
            <w:vAlign w:val="center"/>
            <w:hideMark/>
          </w:tcPr>
          <w:p w14:paraId="3D676262" w14:textId="77777777" w:rsidR="00EA6E0C" w:rsidRPr="00EA6E0C" w:rsidRDefault="00EA6E0C" w:rsidP="00EA6E0C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A6E0C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664" w:type="dxa"/>
            <w:vAlign w:val="center"/>
            <w:hideMark/>
          </w:tcPr>
          <w:p w14:paraId="4236259D" w14:textId="77777777" w:rsidR="00EA6E0C" w:rsidRPr="00EA6E0C" w:rsidRDefault="00EA6E0C" w:rsidP="00EA6E0C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EA6E0C">
              <w:rPr>
                <w:rFonts w:ascii="Arial" w:eastAsia="Times New Roman" w:hAnsi="Arial" w:cs="Arial"/>
                <w:b/>
                <w:lang w:eastAsia="pl-PL"/>
              </w:rPr>
              <w:t>Rodzaj oceny</w:t>
            </w:r>
          </w:p>
        </w:tc>
        <w:tc>
          <w:tcPr>
            <w:tcW w:w="4111" w:type="dxa"/>
            <w:vAlign w:val="center"/>
            <w:hideMark/>
          </w:tcPr>
          <w:p w14:paraId="324DD3F9" w14:textId="77777777" w:rsidR="00EA6E0C" w:rsidRPr="00EA6E0C" w:rsidRDefault="00EA6E0C" w:rsidP="00EA6E0C">
            <w:pPr>
              <w:spacing w:before="120" w:after="120" w:line="276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EA6E0C">
              <w:rPr>
                <w:rFonts w:ascii="Arial" w:eastAsia="Times New Roman" w:hAnsi="Arial" w:cs="Arial"/>
                <w:b/>
                <w:bCs/>
                <w:lang w:eastAsia="x-none"/>
              </w:rPr>
              <w:t xml:space="preserve">Stawka brutto wynagrodzenia </w:t>
            </w:r>
            <w:r w:rsidRPr="00EA6E0C">
              <w:rPr>
                <w:rFonts w:ascii="Arial" w:eastAsia="Times New Roman" w:hAnsi="Arial" w:cs="Arial"/>
                <w:b/>
                <w:bCs/>
                <w:lang w:val="x-none" w:eastAsia="x-none"/>
              </w:rPr>
              <w:t xml:space="preserve">dla ekspertów uczestniczących w ocenie wniosków o dofinansowanie </w:t>
            </w:r>
            <w:r w:rsidRPr="00EA6E0C">
              <w:rPr>
                <w:rFonts w:ascii="Arial" w:eastAsia="Times New Roman" w:hAnsi="Arial" w:cs="Arial"/>
                <w:b/>
                <w:bCs/>
                <w:lang w:eastAsia="x-none"/>
              </w:rPr>
              <w:t xml:space="preserve">projektów </w:t>
            </w:r>
            <w:r w:rsidRPr="00EA6E0C">
              <w:rPr>
                <w:rFonts w:ascii="Arial" w:eastAsia="Times New Roman" w:hAnsi="Arial" w:cs="Arial"/>
                <w:b/>
                <w:bCs/>
                <w:lang w:val="x-none" w:eastAsia="x-none"/>
              </w:rPr>
              <w:t xml:space="preserve">w ramach </w:t>
            </w:r>
            <w:r w:rsidRPr="00EA6E0C">
              <w:rPr>
                <w:rFonts w:ascii="Arial" w:eastAsia="Times New Roman" w:hAnsi="Arial" w:cs="Arial"/>
                <w:b/>
                <w:bCs/>
                <w:lang w:eastAsia="x-none"/>
              </w:rPr>
              <w:t xml:space="preserve">programu regionalnego </w:t>
            </w:r>
            <w:r w:rsidRPr="00EA6E0C">
              <w:rPr>
                <w:rFonts w:ascii="Arial" w:eastAsia="Times New Roman" w:hAnsi="Arial" w:cs="Arial"/>
                <w:b/>
                <w:bCs/>
                <w:lang w:val="x-none" w:eastAsia="x-none"/>
              </w:rPr>
              <w:t>Fundusze Europejskie dla</w:t>
            </w:r>
            <w:r w:rsidRPr="00EA6E0C">
              <w:rPr>
                <w:rFonts w:ascii="Arial" w:eastAsia="Times New Roman" w:hAnsi="Arial" w:cs="Arial"/>
                <w:b/>
                <w:bCs/>
                <w:lang w:eastAsia="x-none"/>
              </w:rPr>
              <w:t xml:space="preserve"> </w:t>
            </w:r>
            <w:r w:rsidRPr="00EA6E0C">
              <w:rPr>
                <w:rFonts w:ascii="Arial" w:eastAsia="Times New Roman" w:hAnsi="Arial" w:cs="Arial"/>
                <w:b/>
                <w:bCs/>
                <w:lang w:val="x-none" w:eastAsia="x-none"/>
              </w:rPr>
              <w:t>Świętokrzyskiego 2021-</w:t>
            </w:r>
            <w:r w:rsidRPr="00EA6E0C">
              <w:rPr>
                <w:rFonts w:ascii="Arial" w:eastAsia="Times New Roman" w:hAnsi="Arial" w:cs="Arial"/>
                <w:b/>
                <w:bCs/>
                <w:lang w:eastAsia="x-none"/>
              </w:rPr>
              <w:t>2</w:t>
            </w:r>
            <w:r w:rsidRPr="00EA6E0C">
              <w:rPr>
                <w:rFonts w:ascii="Arial" w:eastAsia="Times New Roman" w:hAnsi="Arial" w:cs="Arial"/>
                <w:b/>
                <w:bCs/>
                <w:lang w:val="x-none" w:eastAsia="x-none"/>
              </w:rPr>
              <w:t>027 dla działań finansowanych z</w:t>
            </w:r>
            <w:r w:rsidRPr="00EA6E0C">
              <w:rPr>
                <w:rFonts w:ascii="Arial" w:eastAsia="Times New Roman" w:hAnsi="Arial" w:cs="Arial"/>
                <w:b/>
                <w:bCs/>
                <w:lang w:eastAsia="x-none"/>
              </w:rPr>
              <w:t xml:space="preserve"> </w:t>
            </w:r>
            <w:r w:rsidRPr="00EA6E0C">
              <w:rPr>
                <w:rFonts w:ascii="Arial" w:eastAsia="Times New Roman" w:hAnsi="Arial" w:cs="Arial"/>
                <w:b/>
                <w:bCs/>
                <w:lang w:val="x-none" w:eastAsia="x-none"/>
              </w:rPr>
              <w:t>EFS+</w:t>
            </w:r>
          </w:p>
        </w:tc>
      </w:tr>
      <w:tr w:rsidR="00EA6E0C" w:rsidRPr="00EA6E0C" w14:paraId="753D7CA6" w14:textId="77777777" w:rsidTr="00136810">
        <w:trPr>
          <w:trHeight w:val="856"/>
          <w:jc w:val="center"/>
        </w:trPr>
        <w:tc>
          <w:tcPr>
            <w:tcW w:w="576" w:type="dxa"/>
            <w:vAlign w:val="center"/>
            <w:hideMark/>
          </w:tcPr>
          <w:p w14:paraId="4EB44AB0" w14:textId="77777777" w:rsidR="00EA6E0C" w:rsidRPr="00EA6E0C" w:rsidRDefault="00EA6E0C" w:rsidP="00EA6E0C">
            <w:pPr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A6E0C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664" w:type="dxa"/>
            <w:vAlign w:val="center"/>
            <w:hideMark/>
          </w:tcPr>
          <w:p w14:paraId="75A21AB9" w14:textId="77777777" w:rsidR="00EA6E0C" w:rsidRPr="00EA6E0C" w:rsidRDefault="00EA6E0C" w:rsidP="00EA6E0C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 w:rsidRPr="00EA6E0C">
              <w:rPr>
                <w:rFonts w:ascii="Arial" w:eastAsia="Times New Roman" w:hAnsi="Arial" w:cs="Arial"/>
                <w:lang w:eastAsia="pl-PL"/>
              </w:rPr>
              <w:t>Ocena wniosku o dofinansowanie projektu.</w:t>
            </w:r>
          </w:p>
        </w:tc>
        <w:tc>
          <w:tcPr>
            <w:tcW w:w="4111" w:type="dxa"/>
            <w:vAlign w:val="center"/>
            <w:hideMark/>
          </w:tcPr>
          <w:p w14:paraId="66E834C6" w14:textId="77777777" w:rsidR="00EA6E0C" w:rsidRPr="00EA6E0C" w:rsidRDefault="00EA6E0C" w:rsidP="00EA6E0C">
            <w:pPr>
              <w:spacing w:line="276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EA6E0C">
              <w:rPr>
                <w:rFonts w:ascii="Arial" w:eastAsia="Times New Roman" w:hAnsi="Arial" w:cs="Arial"/>
                <w:lang w:eastAsia="pl-PL"/>
              </w:rPr>
              <w:t>600,00 zł</w:t>
            </w:r>
          </w:p>
        </w:tc>
      </w:tr>
      <w:tr w:rsidR="00EA6E0C" w:rsidRPr="00EA6E0C" w14:paraId="0306C04D" w14:textId="77777777" w:rsidTr="00136810">
        <w:trPr>
          <w:trHeight w:val="1058"/>
          <w:jc w:val="center"/>
        </w:trPr>
        <w:tc>
          <w:tcPr>
            <w:tcW w:w="576" w:type="dxa"/>
            <w:vAlign w:val="center"/>
            <w:hideMark/>
          </w:tcPr>
          <w:p w14:paraId="52E3DBA6" w14:textId="77777777" w:rsidR="00EA6E0C" w:rsidRPr="00EA6E0C" w:rsidRDefault="00EA6E0C" w:rsidP="00EA6E0C">
            <w:pPr>
              <w:spacing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EA6E0C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4664" w:type="dxa"/>
            <w:vAlign w:val="center"/>
            <w:hideMark/>
          </w:tcPr>
          <w:p w14:paraId="0A6E4626" w14:textId="77777777" w:rsidR="00EA6E0C" w:rsidRPr="00EA6E0C" w:rsidRDefault="00EA6E0C" w:rsidP="00EA6E0C">
            <w:pPr>
              <w:spacing w:line="276" w:lineRule="auto"/>
              <w:rPr>
                <w:rFonts w:ascii="Arial" w:eastAsia="Times New Roman" w:hAnsi="Arial" w:cs="Arial"/>
                <w:lang w:eastAsia="pl-PL"/>
              </w:rPr>
            </w:pPr>
            <w:r w:rsidRPr="00EA6E0C">
              <w:rPr>
                <w:rFonts w:ascii="Arial" w:eastAsia="Times New Roman" w:hAnsi="Arial" w:cs="Arial"/>
                <w:lang w:eastAsia="pl-PL"/>
              </w:rPr>
              <w:t>Ocena wniosku o dofinansowanie projektu przywróconego do oceny w wyniku pozytywnie rozpatrzonego protestu.</w:t>
            </w:r>
          </w:p>
        </w:tc>
        <w:tc>
          <w:tcPr>
            <w:tcW w:w="4111" w:type="dxa"/>
            <w:vAlign w:val="center"/>
            <w:hideMark/>
          </w:tcPr>
          <w:p w14:paraId="4385E749" w14:textId="77777777" w:rsidR="00EA6E0C" w:rsidRPr="00EA6E0C" w:rsidRDefault="00EA6E0C" w:rsidP="00EA6E0C">
            <w:pPr>
              <w:spacing w:line="276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EA6E0C">
              <w:rPr>
                <w:rFonts w:ascii="Arial" w:eastAsia="Times New Roman" w:hAnsi="Arial" w:cs="Arial"/>
                <w:lang w:eastAsia="pl-PL"/>
              </w:rPr>
              <w:t>500,00 zł</w:t>
            </w:r>
          </w:p>
        </w:tc>
      </w:tr>
    </w:tbl>
    <w:p w14:paraId="2613A27F" w14:textId="77777777" w:rsidR="00545F76" w:rsidRDefault="00545F76" w:rsidP="00EA6E0C">
      <w:pPr>
        <w:spacing w:after="80" w:line="276" w:lineRule="auto"/>
        <w:rPr>
          <w:rFonts w:ascii="Arial" w:hAnsi="Arial" w:cs="Arial"/>
          <w:bCs/>
        </w:rPr>
      </w:pPr>
    </w:p>
    <w:p w14:paraId="29CA4226" w14:textId="233E3F6B" w:rsidR="00EA6E0C" w:rsidRPr="00EA6E0C" w:rsidRDefault="00EA6E0C" w:rsidP="00EA6E0C">
      <w:pPr>
        <w:spacing w:after="80" w:line="276" w:lineRule="auto"/>
        <w:rPr>
          <w:rFonts w:ascii="Arial" w:hAnsi="Arial" w:cs="Arial"/>
          <w:bCs/>
        </w:rPr>
      </w:pPr>
      <w:r w:rsidRPr="00EA6E0C">
        <w:rPr>
          <w:rFonts w:ascii="Arial" w:hAnsi="Arial" w:cs="Arial"/>
          <w:bCs/>
        </w:rPr>
        <w:t>Wymienione stawki odnoszą się do ekspertów oceniających wnioski o dofinansowanie projektów w następujących dziedzinach:</w:t>
      </w:r>
    </w:p>
    <w:p w14:paraId="4F587B01" w14:textId="77777777" w:rsidR="00EA6E0C" w:rsidRPr="00EA6E0C" w:rsidRDefault="00EA6E0C" w:rsidP="00EA6E0C">
      <w:pPr>
        <w:numPr>
          <w:ilvl w:val="0"/>
          <w:numId w:val="1"/>
        </w:numPr>
        <w:spacing w:after="160" w:line="276" w:lineRule="auto"/>
        <w:ind w:left="284" w:hanging="284"/>
        <w:contextualSpacing/>
        <w:rPr>
          <w:rFonts w:ascii="Arial" w:hAnsi="Arial" w:cs="Arial"/>
        </w:rPr>
      </w:pPr>
      <w:r w:rsidRPr="00EA6E0C">
        <w:rPr>
          <w:rFonts w:ascii="Arial" w:hAnsi="Arial" w:cs="Arial"/>
        </w:rPr>
        <w:t>Wsparcie zdrowotne pracowników i pracodawców oraz rehabilitacja ułatwiająca powrót na rynek pracy;</w:t>
      </w:r>
    </w:p>
    <w:p w14:paraId="1073AEFB" w14:textId="77777777" w:rsidR="00EA6E0C" w:rsidRPr="00EA6E0C" w:rsidRDefault="00EA6E0C" w:rsidP="00EA6E0C">
      <w:pPr>
        <w:numPr>
          <w:ilvl w:val="0"/>
          <w:numId w:val="1"/>
        </w:numPr>
        <w:spacing w:after="160" w:line="276" w:lineRule="auto"/>
        <w:ind w:left="284" w:hanging="284"/>
        <w:contextualSpacing/>
        <w:rPr>
          <w:rFonts w:ascii="Arial" w:hAnsi="Arial" w:cs="Arial"/>
        </w:rPr>
      </w:pPr>
      <w:r w:rsidRPr="00EA6E0C">
        <w:rPr>
          <w:rFonts w:ascii="Arial" w:hAnsi="Arial" w:cs="Arial"/>
        </w:rPr>
        <w:t>Edukacja przedszkolna;</w:t>
      </w:r>
    </w:p>
    <w:p w14:paraId="410C8FF3" w14:textId="77777777" w:rsidR="00EA6E0C" w:rsidRPr="00EA6E0C" w:rsidRDefault="00EA6E0C" w:rsidP="00EA6E0C">
      <w:pPr>
        <w:numPr>
          <w:ilvl w:val="0"/>
          <w:numId w:val="1"/>
        </w:numPr>
        <w:spacing w:after="160" w:line="276" w:lineRule="auto"/>
        <w:ind w:left="284" w:hanging="284"/>
        <w:contextualSpacing/>
        <w:rPr>
          <w:rFonts w:ascii="Arial" w:hAnsi="Arial" w:cs="Arial"/>
        </w:rPr>
      </w:pPr>
      <w:r w:rsidRPr="00EA6E0C">
        <w:rPr>
          <w:rFonts w:ascii="Arial" w:hAnsi="Arial" w:cs="Arial"/>
        </w:rPr>
        <w:t>Wsparcie kształcenia ogólnego;</w:t>
      </w:r>
    </w:p>
    <w:p w14:paraId="19FB4308" w14:textId="77777777" w:rsidR="00EA6E0C" w:rsidRPr="00EA6E0C" w:rsidRDefault="00EA6E0C" w:rsidP="00EA6E0C">
      <w:pPr>
        <w:numPr>
          <w:ilvl w:val="0"/>
          <w:numId w:val="1"/>
        </w:numPr>
        <w:spacing w:after="160" w:line="276" w:lineRule="auto"/>
        <w:ind w:left="284" w:hanging="284"/>
        <w:contextualSpacing/>
        <w:rPr>
          <w:rFonts w:ascii="Arial" w:hAnsi="Arial" w:cs="Arial"/>
        </w:rPr>
      </w:pPr>
      <w:r w:rsidRPr="00EA6E0C">
        <w:rPr>
          <w:rFonts w:ascii="Arial" w:hAnsi="Arial" w:cs="Arial"/>
        </w:rPr>
        <w:t>Kształcenie branżowe oraz podnoszenie kompetencji osób dorosłych;</w:t>
      </w:r>
    </w:p>
    <w:p w14:paraId="57475702" w14:textId="77777777" w:rsidR="00EA6E0C" w:rsidRPr="00EA6E0C" w:rsidRDefault="00EA6E0C" w:rsidP="00EA6E0C">
      <w:pPr>
        <w:numPr>
          <w:ilvl w:val="0"/>
          <w:numId w:val="1"/>
        </w:numPr>
        <w:spacing w:after="160" w:line="276" w:lineRule="auto"/>
        <w:ind w:left="284" w:hanging="284"/>
        <w:contextualSpacing/>
        <w:rPr>
          <w:rFonts w:ascii="Arial" w:hAnsi="Arial" w:cs="Arial"/>
        </w:rPr>
      </w:pPr>
      <w:r w:rsidRPr="00EA6E0C">
        <w:rPr>
          <w:rFonts w:ascii="Arial" w:hAnsi="Arial" w:cs="Arial"/>
        </w:rPr>
        <w:t>Ekonomia społeczna i aktywna integracja;</w:t>
      </w:r>
    </w:p>
    <w:p w14:paraId="66E1BE0B" w14:textId="77777777" w:rsidR="00EA6E0C" w:rsidRPr="00EA6E0C" w:rsidRDefault="00EA6E0C" w:rsidP="00EA6E0C">
      <w:pPr>
        <w:numPr>
          <w:ilvl w:val="0"/>
          <w:numId w:val="1"/>
        </w:numPr>
        <w:spacing w:after="160" w:line="276" w:lineRule="auto"/>
        <w:ind w:left="284" w:hanging="284"/>
        <w:contextualSpacing/>
        <w:rPr>
          <w:rFonts w:ascii="Arial" w:hAnsi="Arial" w:cs="Arial"/>
        </w:rPr>
      </w:pPr>
      <w:r w:rsidRPr="00EA6E0C">
        <w:rPr>
          <w:rFonts w:ascii="Arial" w:eastAsia="Times New Roman" w:hAnsi="Arial" w:cs="Arial"/>
          <w:lang w:eastAsia="pl-PL"/>
        </w:rPr>
        <w:t>Usługi społeczne i zdrowotne oraz wsparcie rodziny i pieczy zastępczej;</w:t>
      </w:r>
    </w:p>
    <w:p w14:paraId="7D448F6C" w14:textId="77777777" w:rsidR="00EA6E0C" w:rsidRPr="00EA6E0C" w:rsidRDefault="00EA6E0C" w:rsidP="00EA6E0C">
      <w:pPr>
        <w:numPr>
          <w:ilvl w:val="0"/>
          <w:numId w:val="1"/>
        </w:numPr>
        <w:spacing w:after="160" w:line="276" w:lineRule="auto"/>
        <w:ind w:left="284" w:hanging="284"/>
        <w:contextualSpacing/>
        <w:rPr>
          <w:rFonts w:ascii="Arial" w:hAnsi="Arial" w:cs="Arial"/>
        </w:rPr>
      </w:pPr>
      <w:r w:rsidRPr="00EA6E0C">
        <w:rPr>
          <w:rFonts w:ascii="Arial" w:hAnsi="Arial" w:cs="Arial"/>
        </w:rPr>
        <w:lastRenderedPageBreak/>
        <w:t>Aktywizacja zawodowa osób zatrudnionych i pozostających bez zatrudnienia, w tym osób młodych;</w:t>
      </w:r>
    </w:p>
    <w:p w14:paraId="4A3F23DC" w14:textId="77777777" w:rsidR="00EA6E0C" w:rsidRPr="00EA6E0C" w:rsidRDefault="00EA6E0C" w:rsidP="00EA6E0C">
      <w:pPr>
        <w:numPr>
          <w:ilvl w:val="0"/>
          <w:numId w:val="1"/>
        </w:numPr>
        <w:spacing w:after="100" w:afterAutospacing="1" w:line="276" w:lineRule="auto"/>
        <w:ind w:left="284" w:hanging="284"/>
        <w:rPr>
          <w:rFonts w:ascii="Arial" w:hAnsi="Arial" w:cs="Arial"/>
        </w:rPr>
      </w:pPr>
      <w:r w:rsidRPr="00EA6E0C">
        <w:rPr>
          <w:rFonts w:ascii="Arial" w:hAnsi="Arial" w:cs="Arial"/>
        </w:rPr>
        <w:t>Wsparcie szkoleniowo-doradcze pracowników przedsiębiorstw oraz osób dorosłych.</w:t>
      </w:r>
    </w:p>
    <w:p w14:paraId="734F920D" w14:textId="77777777" w:rsidR="00EA6E0C" w:rsidRPr="00EA6E0C" w:rsidRDefault="00EA6E0C" w:rsidP="00EA6E0C">
      <w:pPr>
        <w:spacing w:after="160" w:line="276" w:lineRule="auto"/>
        <w:rPr>
          <w:rFonts w:ascii="Arial" w:hAnsi="Arial" w:cs="Arial"/>
        </w:rPr>
      </w:pPr>
      <w:r w:rsidRPr="00EA6E0C">
        <w:rPr>
          <w:rFonts w:ascii="Arial" w:hAnsi="Arial" w:cs="Arial"/>
        </w:rPr>
        <w:t>Uzasadnienie:</w:t>
      </w:r>
    </w:p>
    <w:p w14:paraId="65B11167" w14:textId="4EA2E27A" w:rsidR="00726A50" w:rsidRPr="00EA6E0C" w:rsidRDefault="00EA6E0C" w:rsidP="00EA6E0C">
      <w:r w:rsidRPr="00EA6E0C">
        <w:rPr>
          <w:rFonts w:ascii="Arial" w:hAnsi="Arial" w:cs="Arial"/>
          <w:bCs/>
        </w:rPr>
        <w:t>Stawki brutto wynagrodzenia dla ekspertów zostały opracowane na podstawie przeprowadzonych rozmów telefonicznych z innymi Instytucjami Zarządzającymi programami regionalnymi oraz na podstawie dostępnych informacji w przestrzeni internetowej z uwzględnieniem aktualnych wskaźników makroekonomicznych tj. wzrost płacy minimalnej, wzrost przeciętnego wynagrodzenia w gospodarce narodowej, wzrost stopy inflacji.</w:t>
      </w:r>
    </w:p>
    <w:sectPr w:rsidR="00726A50" w:rsidRPr="00EA6E0C" w:rsidSect="0040136B">
      <w:headerReference w:type="default" r:id="rId8"/>
      <w:headerReference w:type="firs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73AD" w14:textId="77777777" w:rsidR="00B976E0" w:rsidRDefault="00B976E0" w:rsidP="001D0CA1">
      <w:pPr>
        <w:spacing w:line="240" w:lineRule="auto"/>
      </w:pPr>
      <w:r>
        <w:separator/>
      </w:r>
    </w:p>
  </w:endnote>
  <w:endnote w:type="continuationSeparator" w:id="0">
    <w:p w14:paraId="4E86AA05" w14:textId="77777777" w:rsidR="00B976E0" w:rsidRDefault="00B976E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353619" w:rsidRPr="00353619" w14:paraId="6FD5943E" w14:textId="77777777" w:rsidTr="001F1C3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DED17B0" w14:textId="443CAD57" w:rsidR="00353619" w:rsidRPr="00383314" w:rsidRDefault="00732C30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D95416">
            <w:rPr>
              <w:b/>
              <w:noProof/>
              <w:color w:val="000000"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66D2C236" wp14:editId="2161A0BE">
                <wp:simplePos x="0" y="0"/>
                <wp:positionH relativeFrom="column">
                  <wp:posOffset>-19050</wp:posOffset>
                </wp:positionH>
                <wp:positionV relativeFrom="paragraph">
                  <wp:posOffset>80010</wp:posOffset>
                </wp:positionV>
                <wp:extent cx="866775" cy="523240"/>
                <wp:effectExtent l="0" t="0" r="9525" b="0"/>
                <wp:wrapNone/>
                <wp:docPr id="113556948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1BB2A3D7" w14:textId="77777777" w:rsidR="00353619" w:rsidRPr="00353619" w:rsidRDefault="00353619" w:rsidP="00353619">
          <w:pPr>
            <w:jc w:val="right"/>
            <w:rPr>
              <w:rFonts w:ascii="Tahoma" w:hAnsi="Tahoma" w:cs="Tahoma"/>
              <w:b/>
              <w:color w:val="000000" w:themeColor="text1"/>
              <w:sz w:val="16"/>
              <w:szCs w:val="16"/>
            </w:rPr>
          </w:pPr>
          <w:r w:rsidRPr="00353619">
            <w:rPr>
              <w:rFonts w:ascii="Tahoma" w:hAnsi="Tahoma" w:cs="Tahoma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F442DF9" w14:textId="77777777" w:rsidR="00353619" w:rsidRPr="00726A50" w:rsidRDefault="00353619" w:rsidP="00353619">
          <w:pPr>
            <w:jc w:val="right"/>
            <w:rPr>
              <w:rFonts w:ascii="Tahoma" w:hAnsi="Tahoma" w:cs="Tahoma"/>
              <w:b/>
              <w:color w:val="000000" w:themeColor="text1"/>
              <w:sz w:val="14"/>
              <w:szCs w:val="14"/>
            </w:rPr>
          </w:pPr>
          <w:r w:rsidRPr="00726A50">
            <w:rPr>
              <w:rFonts w:ascii="Tahoma" w:hAnsi="Tahoma" w:cs="Tahoma"/>
              <w:b/>
              <w:color w:val="000000" w:themeColor="text1"/>
              <w:sz w:val="14"/>
              <w:szCs w:val="14"/>
            </w:rPr>
            <w:t xml:space="preserve"> Wojewódzki Urząd Pracy w Kielcach</w:t>
          </w:r>
        </w:p>
        <w:p w14:paraId="65A46C24" w14:textId="77777777" w:rsidR="00353619" w:rsidRPr="00353619" w:rsidRDefault="00353619" w:rsidP="00353619">
          <w:pPr>
            <w:jc w:val="right"/>
            <w:rPr>
              <w:rFonts w:ascii="Tahoma" w:hAnsi="Tahoma" w:cs="Tahoma"/>
              <w:b/>
              <w:color w:val="000000" w:themeColor="text1"/>
              <w:sz w:val="16"/>
              <w:szCs w:val="16"/>
            </w:rPr>
          </w:pPr>
          <w:r w:rsidRPr="00726A50">
            <w:rPr>
              <w:rFonts w:ascii="Tahoma" w:hAnsi="Tahoma" w:cs="Tahoma"/>
              <w:b/>
              <w:color w:val="000000" w:themeColor="text1"/>
              <w:sz w:val="14"/>
              <w:szCs w:val="14"/>
            </w:rPr>
            <w:t>ul. Witosa 86, 25-561 Kielce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br/>
            <w:t>tel.: (048) 41 364-16-00, fax: (048) 41 364-16-66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br/>
          </w:r>
          <w:r w:rsidRPr="00726A50">
            <w:rPr>
              <w:rFonts w:ascii="Tahoma" w:hAnsi="Tahoma" w:cs="Tahoma"/>
              <w:sz w:val="14"/>
              <w:szCs w:val="14"/>
            </w:rPr>
            <w:t>e-mail: wup@wup.kielce.pl,</w:t>
          </w:r>
          <w:r w:rsidRPr="00726A50">
            <w:rPr>
              <w:rFonts w:ascii="Tahoma" w:hAnsi="Tahoma" w:cs="Tahoma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70560E32" w14:textId="3111580C" w:rsidR="0040136B" w:rsidRDefault="0040136B" w:rsidP="00353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1DFA" w14:textId="77777777" w:rsidR="00B976E0" w:rsidRDefault="00B976E0" w:rsidP="001D0CA1">
      <w:pPr>
        <w:spacing w:line="240" w:lineRule="auto"/>
      </w:pPr>
      <w:r>
        <w:separator/>
      </w:r>
    </w:p>
  </w:footnote>
  <w:footnote w:type="continuationSeparator" w:id="0">
    <w:p w14:paraId="2F65046A" w14:textId="77777777" w:rsidR="00B976E0" w:rsidRDefault="00B976E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8ECD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1236" w14:textId="315CE53F" w:rsidR="004519C2" w:rsidRDefault="004519C2">
    <w:pPr>
      <w:pStyle w:val="Nagwek"/>
    </w:pPr>
    <w:r>
      <w:rPr>
        <w:noProof/>
      </w:rPr>
      <w:drawing>
        <wp:inline distT="0" distB="0" distL="0" distR="0" wp14:anchorId="74CD32D0" wp14:editId="192C0A57">
          <wp:extent cx="5756707" cy="4464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02393D" w14:textId="77777777" w:rsidR="00353619" w:rsidRDefault="003536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C3C26"/>
    <w:multiLevelType w:val="hybridMultilevel"/>
    <w:tmpl w:val="89448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20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A3C37"/>
    <w:rsid w:val="000C6F51"/>
    <w:rsid w:val="000D7CA7"/>
    <w:rsid w:val="000F4A5C"/>
    <w:rsid w:val="00116D65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26760"/>
    <w:rsid w:val="00285B8C"/>
    <w:rsid w:val="002A1B27"/>
    <w:rsid w:val="002B4426"/>
    <w:rsid w:val="002E56AD"/>
    <w:rsid w:val="00311398"/>
    <w:rsid w:val="00333B11"/>
    <w:rsid w:val="00350808"/>
    <w:rsid w:val="003511F9"/>
    <w:rsid w:val="00353619"/>
    <w:rsid w:val="0036181F"/>
    <w:rsid w:val="00375179"/>
    <w:rsid w:val="003B32BA"/>
    <w:rsid w:val="003C0F89"/>
    <w:rsid w:val="003C5FB5"/>
    <w:rsid w:val="0040136B"/>
    <w:rsid w:val="00445FB5"/>
    <w:rsid w:val="004479B7"/>
    <w:rsid w:val="004519C2"/>
    <w:rsid w:val="0045306F"/>
    <w:rsid w:val="004732C3"/>
    <w:rsid w:val="004749A8"/>
    <w:rsid w:val="004A31CA"/>
    <w:rsid w:val="004C2F39"/>
    <w:rsid w:val="004D64FD"/>
    <w:rsid w:val="004F2824"/>
    <w:rsid w:val="00504944"/>
    <w:rsid w:val="00506507"/>
    <w:rsid w:val="0052468C"/>
    <w:rsid w:val="00545F76"/>
    <w:rsid w:val="005735A8"/>
    <w:rsid w:val="005F198A"/>
    <w:rsid w:val="00615308"/>
    <w:rsid w:val="00625E9E"/>
    <w:rsid w:val="0063338C"/>
    <w:rsid w:val="00651753"/>
    <w:rsid w:val="00652705"/>
    <w:rsid w:val="0065288E"/>
    <w:rsid w:val="006646C6"/>
    <w:rsid w:val="006A19E1"/>
    <w:rsid w:val="006A73C8"/>
    <w:rsid w:val="006C75FC"/>
    <w:rsid w:val="006F1F68"/>
    <w:rsid w:val="00711C90"/>
    <w:rsid w:val="00726A50"/>
    <w:rsid w:val="00731F66"/>
    <w:rsid w:val="00732C30"/>
    <w:rsid w:val="00791F2E"/>
    <w:rsid w:val="007A0E58"/>
    <w:rsid w:val="007A6F45"/>
    <w:rsid w:val="007B5969"/>
    <w:rsid w:val="007C34AE"/>
    <w:rsid w:val="007C5643"/>
    <w:rsid w:val="007D1CF7"/>
    <w:rsid w:val="007E3CC9"/>
    <w:rsid w:val="008238D5"/>
    <w:rsid w:val="0083668B"/>
    <w:rsid w:val="008712E5"/>
    <w:rsid w:val="00902436"/>
    <w:rsid w:val="00934DF0"/>
    <w:rsid w:val="009429B6"/>
    <w:rsid w:val="009606F5"/>
    <w:rsid w:val="00981484"/>
    <w:rsid w:val="00A2438E"/>
    <w:rsid w:val="00A33CE7"/>
    <w:rsid w:val="00A37D23"/>
    <w:rsid w:val="00A466E8"/>
    <w:rsid w:val="00A47EDC"/>
    <w:rsid w:val="00A92B91"/>
    <w:rsid w:val="00A95134"/>
    <w:rsid w:val="00AA4E40"/>
    <w:rsid w:val="00AA538D"/>
    <w:rsid w:val="00AD0280"/>
    <w:rsid w:val="00AD3554"/>
    <w:rsid w:val="00B44079"/>
    <w:rsid w:val="00B47CFF"/>
    <w:rsid w:val="00B74111"/>
    <w:rsid w:val="00B75853"/>
    <w:rsid w:val="00B82F2E"/>
    <w:rsid w:val="00B976E0"/>
    <w:rsid w:val="00BA2E06"/>
    <w:rsid w:val="00BC093F"/>
    <w:rsid w:val="00BE3B5B"/>
    <w:rsid w:val="00C06EEC"/>
    <w:rsid w:val="00C22C00"/>
    <w:rsid w:val="00C41F38"/>
    <w:rsid w:val="00C46D30"/>
    <w:rsid w:val="00C56BFF"/>
    <w:rsid w:val="00C63BF0"/>
    <w:rsid w:val="00C73DBE"/>
    <w:rsid w:val="00CB1D5A"/>
    <w:rsid w:val="00CC226C"/>
    <w:rsid w:val="00CD4E7A"/>
    <w:rsid w:val="00CE12C1"/>
    <w:rsid w:val="00CE1FF6"/>
    <w:rsid w:val="00CE342C"/>
    <w:rsid w:val="00CF30BE"/>
    <w:rsid w:val="00CF52FE"/>
    <w:rsid w:val="00CF6F39"/>
    <w:rsid w:val="00D14ABC"/>
    <w:rsid w:val="00D20E6E"/>
    <w:rsid w:val="00D22128"/>
    <w:rsid w:val="00D41F90"/>
    <w:rsid w:val="00D73BF3"/>
    <w:rsid w:val="00D96C4C"/>
    <w:rsid w:val="00DC1E5E"/>
    <w:rsid w:val="00DD74DE"/>
    <w:rsid w:val="00DE4D9A"/>
    <w:rsid w:val="00DE6B3A"/>
    <w:rsid w:val="00DF2787"/>
    <w:rsid w:val="00E1211E"/>
    <w:rsid w:val="00E21532"/>
    <w:rsid w:val="00E31CB4"/>
    <w:rsid w:val="00E61334"/>
    <w:rsid w:val="00E80431"/>
    <w:rsid w:val="00E867CD"/>
    <w:rsid w:val="00E94511"/>
    <w:rsid w:val="00EA6E0C"/>
    <w:rsid w:val="00EE1DFD"/>
    <w:rsid w:val="00F12E95"/>
    <w:rsid w:val="00F27ACE"/>
    <w:rsid w:val="00F31E3E"/>
    <w:rsid w:val="00F628EC"/>
    <w:rsid w:val="00F73274"/>
    <w:rsid w:val="00F76AC3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Małgorzata Rutkowska</cp:lastModifiedBy>
  <cp:revision>7</cp:revision>
  <cp:lastPrinted>2019-11-06T12:29:00Z</cp:lastPrinted>
  <dcterms:created xsi:type="dcterms:W3CDTF">2023-04-24T08:26:00Z</dcterms:created>
  <dcterms:modified xsi:type="dcterms:W3CDTF">2023-08-14T07:46:00Z</dcterms:modified>
</cp:coreProperties>
</file>