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642A" w14:textId="77777777" w:rsidR="00F47AE0" w:rsidRDefault="00F47AE0" w:rsidP="00E9607D">
      <w:pPr>
        <w:spacing w:after="0"/>
        <w:ind w:left="720" w:hanging="360"/>
      </w:pPr>
    </w:p>
    <w:p w14:paraId="29797FCE" w14:textId="208E0BB3" w:rsidR="005E431C" w:rsidRPr="005A2885" w:rsidRDefault="005E431C" w:rsidP="00C21096">
      <w:pPr>
        <w:spacing w:after="0"/>
        <w:ind w:left="720" w:hanging="360"/>
        <w:rPr>
          <w:b/>
          <w:bCs/>
        </w:rPr>
      </w:pPr>
      <w:r w:rsidRPr="0087261B">
        <w:rPr>
          <w:b/>
          <w:bCs/>
        </w:rPr>
        <w:t xml:space="preserve">Załącznik nr </w:t>
      </w:r>
      <w:r w:rsidR="007F3C4B">
        <w:rPr>
          <w:b/>
          <w:bCs/>
        </w:rPr>
        <w:t>6</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77777777" w:rsidR="00E9607D" w:rsidRPr="00FF1DDD" w:rsidRDefault="00E9607D" w:rsidP="00E9607D">
      <w:pPr>
        <w:numPr>
          <w:ilvl w:val="0"/>
          <w:numId w:val="1"/>
        </w:numPr>
        <w:spacing w:after="0" w:line="240" w:lineRule="auto"/>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z dnia 17 czerwca 2014 r. uznające niektóre rodzaje pomocy za zgodne z rynkiem wewnętrznym w zastosowaniu art. 107 i 108 Traktatu.</w:t>
      </w:r>
    </w:p>
    <w:p w14:paraId="7781E528" w14:textId="3FAE8AE2" w:rsidR="00E9607D" w:rsidRPr="00FF1DDD" w:rsidRDefault="007F3C4B" w:rsidP="00972A0E">
      <w:pPr>
        <w:ind w:left="1070"/>
        <w:jc w:val="both"/>
      </w:pPr>
      <w:sdt>
        <w:sdtPr>
          <w:id w:val="142770187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E9607D">
      <w:pPr>
        <w:numPr>
          <w:ilvl w:val="0"/>
          <w:numId w:val="1"/>
        </w:numPr>
        <w:spacing w:after="0" w:line="240" w:lineRule="auto"/>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150EB21B" w:rsidR="00E9607D" w:rsidRPr="00FF1DDD" w:rsidRDefault="00E9607D" w:rsidP="00E9607D">
      <w:pPr>
        <w:tabs>
          <w:tab w:val="num" w:pos="993"/>
        </w:tabs>
        <w:ind w:left="709"/>
        <w:jc w:val="both"/>
      </w:pPr>
      <w:r w:rsidRPr="00FF1DDD">
        <w:t xml:space="preserve">       </w:t>
      </w:r>
      <w:sdt>
        <w:sdtPr>
          <w:id w:val="1182396739"/>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p>
    <w:p w14:paraId="6F9FB809" w14:textId="77777777" w:rsidR="00E9607D" w:rsidRPr="00FF1DDD" w:rsidRDefault="00E9607D" w:rsidP="00E9607D">
      <w:pPr>
        <w:numPr>
          <w:ilvl w:val="0"/>
          <w:numId w:val="1"/>
        </w:numPr>
        <w:spacing w:after="0" w:line="240" w:lineRule="auto"/>
        <w:jc w:val="both"/>
      </w:pPr>
      <w:r w:rsidRPr="00F4761E">
        <w:t>Oświadcz</w:t>
      </w:r>
      <w:r w:rsidRPr="00FF1DDD">
        <w:t xml:space="preserve">am, że Wnioskodawca/Partnerzy nie podlegają wykluczeniu z ubiegania się </w:t>
      </w:r>
      <w:r w:rsidRPr="00FF1DDD">
        <w:br/>
        <w:t>o dofinansowanie na podstawie:</w:t>
      </w:r>
    </w:p>
    <w:p w14:paraId="5D641CA4" w14:textId="3F255D93" w:rsidR="00E9607D" w:rsidRPr="00FF1DDD" w:rsidRDefault="00E9607D" w:rsidP="00E9607D">
      <w:pPr>
        <w:numPr>
          <w:ilvl w:val="0"/>
          <w:numId w:val="2"/>
        </w:numPr>
        <w:spacing w:after="0" w:line="240" w:lineRule="auto"/>
        <w:jc w:val="both"/>
      </w:pPr>
      <w:r w:rsidRPr="00FF1DDD">
        <w:t xml:space="preserve">art. </w:t>
      </w:r>
      <w:r w:rsidR="00C033C4" w:rsidRPr="00FF1DDD">
        <w:t>207 ust.</w:t>
      </w:r>
      <w:r w:rsidRPr="00FF1DDD">
        <w:t xml:space="preserve"> 4 ustawy z dnia 27 sierpnia 2009 r. o finansach publicznych </w:t>
      </w:r>
      <w:r w:rsidRPr="00FF1DDD">
        <w:br/>
        <w:t>(Dz. U. z 20</w:t>
      </w:r>
      <w:r w:rsidR="00B91262">
        <w:t>22</w:t>
      </w:r>
      <w:r w:rsidRPr="00FF1DDD">
        <w:t xml:space="preserve"> r., poz. </w:t>
      </w:r>
      <w:r w:rsidR="00B91262">
        <w:t>1634</w:t>
      </w:r>
      <w:r w:rsidRPr="00FF1DDD">
        <w:t>, z późn. zm.),</w:t>
      </w:r>
    </w:p>
    <w:p w14:paraId="64ABA4A8" w14:textId="6414AC37" w:rsidR="00E9607D" w:rsidRPr="00FF1DDD" w:rsidRDefault="00E9607D" w:rsidP="00E9607D">
      <w:pPr>
        <w:numPr>
          <w:ilvl w:val="0"/>
          <w:numId w:val="2"/>
        </w:numPr>
        <w:spacing w:after="0" w:line="240" w:lineRule="auto"/>
        <w:jc w:val="both"/>
      </w:pPr>
      <w:r w:rsidRPr="00FF1DDD">
        <w:t xml:space="preserve">art. 12 ust. 1 pkt 1 ustawy z dnia 15 czerwca 2012 r. o skutkach powierzania wykonywania pracy cudzoziemcom przebywającym wbrew przepisom </w:t>
      </w:r>
      <w:r w:rsidRPr="00FF1DDD">
        <w:br/>
        <w:t>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E9607D">
      <w:pPr>
        <w:numPr>
          <w:ilvl w:val="0"/>
          <w:numId w:val="2"/>
        </w:numPr>
        <w:spacing w:after="0" w:line="240" w:lineRule="auto"/>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E9607D">
      <w:pPr>
        <w:spacing w:after="0" w:line="240" w:lineRule="auto"/>
        <w:ind w:left="1134" w:firstLine="2"/>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434AD11B" w14:textId="49DE6134" w:rsidR="00E9607D" w:rsidRPr="00FF1DDD" w:rsidRDefault="00E9607D" w:rsidP="00E9607D">
      <w:pPr>
        <w:ind w:left="710"/>
        <w:jc w:val="both"/>
      </w:pPr>
      <w:r w:rsidRPr="00FF1DDD">
        <w:t xml:space="preserve">         </w:t>
      </w:r>
      <w:sdt>
        <w:sdtPr>
          <w:id w:val="97464887"/>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p>
    <w:p w14:paraId="60FB97A3" w14:textId="6ECAAFD7" w:rsidR="00916045" w:rsidRDefault="00916045" w:rsidP="00026615">
      <w:pPr>
        <w:numPr>
          <w:ilvl w:val="0"/>
          <w:numId w:val="1"/>
        </w:numPr>
        <w:spacing w:after="0" w:line="240" w:lineRule="auto"/>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5335AE40" w14:textId="72E7B20D" w:rsidR="00072D88" w:rsidRDefault="00072D88" w:rsidP="00072D88">
      <w:pPr>
        <w:pStyle w:val="Akapitzlist"/>
        <w:spacing w:after="0" w:line="240" w:lineRule="auto"/>
        <w:ind w:left="1070"/>
        <w:jc w:val="both"/>
      </w:pPr>
      <w:r>
        <w:t xml:space="preserve"> </w:t>
      </w:r>
      <w:sdt>
        <w:sdtPr>
          <w:id w:val="690336256"/>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p>
    <w:p w14:paraId="632D6BF6" w14:textId="77777777" w:rsidR="00072D88" w:rsidRPr="00916045" w:rsidRDefault="00072D88" w:rsidP="00072D88">
      <w:pPr>
        <w:spacing w:after="0" w:line="240" w:lineRule="auto"/>
        <w:jc w:val="both"/>
      </w:pPr>
    </w:p>
    <w:p w14:paraId="760D3650" w14:textId="7151C068" w:rsidR="00197F12" w:rsidRPr="00C033C4" w:rsidRDefault="00197F12" w:rsidP="00026615">
      <w:pPr>
        <w:numPr>
          <w:ilvl w:val="0"/>
          <w:numId w:val="1"/>
        </w:numPr>
        <w:spacing w:after="0" w:line="240" w:lineRule="auto"/>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p w14:paraId="3A036A51" w14:textId="3A5CAF14" w:rsidR="00197F12" w:rsidRDefault="00197F12" w:rsidP="00197F12">
      <w:pPr>
        <w:spacing w:after="0" w:line="240" w:lineRule="auto"/>
        <w:ind w:left="1070"/>
        <w:jc w:val="both"/>
      </w:pPr>
      <w:r>
        <w:t xml:space="preserve">  </w:t>
      </w:r>
      <w:bookmarkStart w:id="0" w:name="_Hlk134519565"/>
      <w:sdt>
        <w:sdtPr>
          <w:id w:val="1864624247"/>
          <w14:checkbox>
            <w14:checked w14:val="0"/>
            <w14:checkedState w14:val="2612" w14:font="MS Gothic"/>
            <w14:uncheckedState w14:val="2610" w14:font="MS Gothic"/>
          </w14:checkbox>
        </w:sdtPr>
        <w:sdtEndPr/>
        <w:sdtContent>
          <w:r w:rsidR="005C0A1C">
            <w:rPr>
              <w:rFonts w:ascii="MS Gothic" w:eastAsia="MS Gothic" w:hAnsi="MS Gothic" w:hint="eastAsia"/>
            </w:rPr>
            <w:t>☐</w:t>
          </w:r>
        </w:sdtContent>
      </w:sdt>
      <w:r w:rsidRPr="00FF1DDD">
        <w:t xml:space="preserve"> Nie dotyczy</w:t>
      </w:r>
    </w:p>
    <w:bookmarkEnd w:id="0"/>
    <w:p w14:paraId="1BE19F4E" w14:textId="77777777" w:rsidR="00072D88" w:rsidRPr="00197F12" w:rsidRDefault="00072D88" w:rsidP="00197F12">
      <w:pPr>
        <w:spacing w:after="0" w:line="240" w:lineRule="auto"/>
        <w:ind w:left="1070"/>
        <w:jc w:val="both"/>
      </w:pPr>
    </w:p>
    <w:p w14:paraId="1F728B8A" w14:textId="144EB790" w:rsidR="00026615" w:rsidRPr="00FF1DDD" w:rsidRDefault="00026615" w:rsidP="00026615">
      <w:pPr>
        <w:numPr>
          <w:ilvl w:val="0"/>
          <w:numId w:val="1"/>
        </w:numPr>
        <w:spacing w:after="0" w:line="240" w:lineRule="auto"/>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p w14:paraId="482376AC" w14:textId="42A451C9" w:rsidR="000B41FA" w:rsidRDefault="00026615" w:rsidP="00E32DB4">
      <w:pPr>
        <w:tabs>
          <w:tab w:val="num" w:pos="993"/>
        </w:tabs>
        <w:ind w:left="709"/>
        <w:jc w:val="both"/>
      </w:pPr>
      <w:r w:rsidRPr="00FF1DDD">
        <w:lastRenderedPageBreak/>
        <w:t xml:space="preserve">      </w:t>
      </w:r>
      <w:r w:rsidR="007235BF">
        <w:t xml:space="preserve">  </w:t>
      </w:r>
      <w:r w:rsidRPr="00FF1DDD">
        <w:t xml:space="preserve"> </w:t>
      </w:r>
      <w:bookmarkStart w:id="1" w:name="_Hlk134779426"/>
      <w:bookmarkStart w:id="2" w:name="_Hlk134443820"/>
      <w:sdt>
        <w:sdtPr>
          <w:id w:val="-8686117"/>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Pr="00FF1DDD">
        <w:t xml:space="preserve"> Nie dotyczy</w:t>
      </w:r>
      <w:bookmarkEnd w:id="1"/>
      <w:bookmarkEnd w:id="2"/>
    </w:p>
    <w:p w14:paraId="0B5F76C9" w14:textId="4D76B504" w:rsidR="00A75560" w:rsidRDefault="00A75560" w:rsidP="00E9607D">
      <w:pPr>
        <w:numPr>
          <w:ilvl w:val="0"/>
          <w:numId w:val="1"/>
        </w:numPr>
        <w:spacing w:after="0" w:line="240" w:lineRule="auto"/>
        <w:jc w:val="both"/>
      </w:pPr>
      <w:r w:rsidRPr="00F4761E">
        <w:t>Oświadcza</w:t>
      </w:r>
      <w:r>
        <w:t xml:space="preserve">m, że zarówno Wnioskodawca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i </w:t>
      </w:r>
      <w:r w:rsidR="00C9161B">
        <w:t>R</w:t>
      </w:r>
      <w:r w:rsidR="00C9161B" w:rsidRPr="00C9161B">
        <w:t>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00C9161B">
        <w:t>.</w:t>
      </w:r>
    </w:p>
    <w:p w14:paraId="5EDEC913" w14:textId="1CDCA05C" w:rsidR="007235BF" w:rsidRDefault="007235BF" w:rsidP="007235BF">
      <w:pPr>
        <w:spacing w:after="0" w:line="240" w:lineRule="auto"/>
        <w:ind w:left="1070"/>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A75560">
      <w:pPr>
        <w:spacing w:after="0" w:line="240" w:lineRule="auto"/>
        <w:ind w:left="1070"/>
        <w:jc w:val="both"/>
      </w:pPr>
    </w:p>
    <w:p w14:paraId="0F2B1196" w14:textId="7C731C51" w:rsidR="00862FEE" w:rsidRDefault="00862FEE" w:rsidP="00E9607D">
      <w:pPr>
        <w:numPr>
          <w:ilvl w:val="0"/>
          <w:numId w:val="1"/>
        </w:numPr>
        <w:spacing w:after="0" w:line="240" w:lineRule="auto"/>
        <w:jc w:val="both"/>
      </w:pPr>
      <w:r>
        <w:t>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862FEE">
      <w:pPr>
        <w:spacing w:after="0" w:line="240" w:lineRule="auto"/>
        <w:jc w:val="both"/>
      </w:pPr>
    </w:p>
    <w:p w14:paraId="3F977EEF" w14:textId="48F714E6" w:rsidR="00552AA4" w:rsidRDefault="00552AA4" w:rsidP="00E9607D">
      <w:pPr>
        <w:numPr>
          <w:ilvl w:val="0"/>
          <w:numId w:val="1"/>
        </w:numPr>
        <w:spacing w:after="0" w:line="240" w:lineRule="auto"/>
        <w:jc w:val="both"/>
      </w:pPr>
      <w:r>
        <w:t>Oświadczam, że projekt jest zgodny z Konwencją o Prawach Osób Niepełnosprawnych, sporządzoną w Nowym Jorku dnia 13 grudnia 2006 r. (Dz. U. z 2012 r. poz. 1169, z późn.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552AA4">
      <w:pPr>
        <w:spacing w:after="0" w:line="240" w:lineRule="auto"/>
        <w:jc w:val="both"/>
      </w:pPr>
    </w:p>
    <w:p w14:paraId="53472AB2" w14:textId="3B1A12D1" w:rsidR="005600D0" w:rsidRDefault="005600D0" w:rsidP="005600D0">
      <w:pPr>
        <w:numPr>
          <w:ilvl w:val="0"/>
          <w:numId w:val="1"/>
        </w:numPr>
        <w:spacing w:after="0" w:line="240" w:lineRule="auto"/>
        <w:jc w:val="both"/>
      </w:pPr>
      <w:r w:rsidRPr="005E431C">
        <w:t>Oświadczam,</w:t>
      </w:r>
      <w:r>
        <w:t xml:space="preserve"> że przedsięwzięcie jest zgodne z zasadą „nie czyń poważnej szkody” w rozumieniu art. 17 rozporządzenia (UE) nr 2020/852 (rozporządzenie w sprawie taksonomii) [ang. „Do No Significant Harm” (DNSH)</w:t>
      </w:r>
    </w:p>
    <w:p w14:paraId="1B040CC7" w14:textId="77777777" w:rsidR="005600D0" w:rsidRDefault="005600D0" w:rsidP="005600D0">
      <w:pPr>
        <w:spacing w:after="0" w:line="240" w:lineRule="auto"/>
        <w:ind w:left="1070"/>
        <w:jc w:val="both"/>
      </w:pPr>
    </w:p>
    <w:p w14:paraId="31964C0B" w14:textId="19B3AFE0" w:rsidR="005600D0" w:rsidRDefault="005600D0" w:rsidP="005600D0">
      <w:pPr>
        <w:spacing w:after="0" w:line="240" w:lineRule="auto"/>
        <w:ind w:left="1070"/>
        <w:jc w:val="both"/>
      </w:pPr>
    </w:p>
    <w:p w14:paraId="7E3C2688" w14:textId="77777777" w:rsidR="00CB4D50" w:rsidRDefault="007235BF" w:rsidP="00CB4D50">
      <w:pPr>
        <w:numPr>
          <w:ilvl w:val="0"/>
          <w:numId w:val="1"/>
        </w:numPr>
        <w:spacing w:after="0" w:line="240" w:lineRule="auto"/>
        <w:jc w:val="both"/>
      </w:pPr>
      <w:r w:rsidRPr="00F4761E">
        <w:t>Oświadczam</w:t>
      </w:r>
      <w:r w:rsidR="00166516">
        <w:rPr>
          <w:rStyle w:val="Odwoanieprzypisudolnego"/>
        </w:rPr>
        <w:footnoteReference w:id="1"/>
      </w:r>
      <w:r>
        <w:t>, że</w:t>
      </w:r>
    </w:p>
    <w:p w14:paraId="5A66838B" w14:textId="19A814B8" w:rsidR="007235BF" w:rsidRDefault="007F3C4B" w:rsidP="00CB4D50">
      <w:pPr>
        <w:spacing w:after="0" w:line="240" w:lineRule="auto"/>
        <w:ind w:left="1070"/>
        <w:jc w:val="both"/>
      </w:pPr>
      <w:sdt>
        <w:sdtPr>
          <w:id w:val="670764688"/>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w:t>
      </w:r>
      <w:r w:rsidR="007B56FB">
        <w:br/>
      </w:r>
      <w:r w:rsidR="00CB4D50">
        <w:t>i realizując projekt przestrzegałem obowiązujących przepisów prawa</w:t>
      </w:r>
    </w:p>
    <w:p w14:paraId="4E08AF8A" w14:textId="77777777" w:rsidR="00DB7366" w:rsidRDefault="00DB7366" w:rsidP="00CB4D50">
      <w:pPr>
        <w:spacing w:after="0" w:line="240" w:lineRule="auto"/>
        <w:ind w:left="1070"/>
        <w:jc w:val="both"/>
      </w:pPr>
    </w:p>
    <w:p w14:paraId="343D1E20" w14:textId="01401144" w:rsidR="00CB4D50" w:rsidRDefault="007F3C4B" w:rsidP="00CB4D50">
      <w:pPr>
        <w:spacing w:after="0" w:line="240" w:lineRule="auto"/>
        <w:ind w:left="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7235BF">
      <w:pPr>
        <w:spacing w:after="0" w:line="240" w:lineRule="auto"/>
        <w:ind w:left="1070"/>
        <w:jc w:val="both"/>
      </w:pPr>
    </w:p>
    <w:p w14:paraId="68F59B25" w14:textId="0CE2F72F" w:rsidR="007235BF" w:rsidRDefault="007235BF" w:rsidP="00E9607D">
      <w:pPr>
        <w:numPr>
          <w:ilvl w:val="0"/>
          <w:numId w:val="1"/>
        </w:numPr>
        <w:spacing w:after="0" w:line="240" w:lineRule="auto"/>
        <w:jc w:val="both"/>
      </w:pPr>
      <w:r w:rsidRPr="00F4761E">
        <w:t>Oświadcza</w:t>
      </w:r>
      <w:r>
        <w:t>m, że niniejszy projekt nie został zakończony w rozumieniu art. 63 ust. 6 Rozporządzenia Parlamentu Europejskiego i Rady (UE) nr 2021/1060 z dnia 24 czerwca 2021 r. (Dz.U.UE.L.231.159).</w:t>
      </w:r>
    </w:p>
    <w:p w14:paraId="208B53D3" w14:textId="3B82C27E" w:rsidR="00774307" w:rsidRDefault="00774307" w:rsidP="00C21096">
      <w:pPr>
        <w:spacing w:after="0" w:line="240" w:lineRule="auto"/>
        <w:jc w:val="both"/>
      </w:pPr>
    </w:p>
    <w:p w14:paraId="6168969B" w14:textId="12854255" w:rsidR="00E9607D" w:rsidRDefault="00E9607D" w:rsidP="00E9607D">
      <w:pPr>
        <w:numPr>
          <w:ilvl w:val="0"/>
          <w:numId w:val="1"/>
        </w:numPr>
        <w:spacing w:after="0" w:line="240" w:lineRule="auto"/>
        <w:jc w:val="both"/>
      </w:pPr>
      <w:r w:rsidRPr="00FF1DDD">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83DBF60" w14:textId="77777777" w:rsidR="00A33ED4" w:rsidRDefault="00A33ED4" w:rsidP="00A33ED4">
      <w:pPr>
        <w:spacing w:after="0" w:line="240" w:lineRule="auto"/>
        <w:ind w:left="1070"/>
        <w:jc w:val="both"/>
      </w:pPr>
    </w:p>
    <w:p w14:paraId="4A86ABF1" w14:textId="77777777" w:rsidR="00A33ED4" w:rsidRDefault="00A33ED4" w:rsidP="00A33ED4">
      <w:pPr>
        <w:numPr>
          <w:ilvl w:val="0"/>
          <w:numId w:val="1"/>
        </w:numPr>
        <w:spacing w:after="0" w:line="240" w:lineRule="auto"/>
        <w:jc w:val="both"/>
      </w:pPr>
      <w:r w:rsidRPr="005E431C">
        <w:t>Oświadczam,</w:t>
      </w:r>
      <w:r w:rsidRPr="00FF1DDD">
        <w:t xml:space="preserve"> że</w:t>
      </w:r>
    </w:p>
    <w:p w14:paraId="2B7F0F7F" w14:textId="741B8F61" w:rsidR="00A33ED4" w:rsidRPr="00FF1DDD" w:rsidRDefault="007F3C4B" w:rsidP="00A33ED4">
      <w:pPr>
        <w:spacing w:after="0" w:line="240" w:lineRule="auto"/>
        <w:ind w:left="1070"/>
        <w:jc w:val="both"/>
      </w:pPr>
      <w:sdt>
        <w:sdtPr>
          <w:id w:val="1304032756"/>
          <w14:checkbox>
            <w14:checked w14:val="0"/>
            <w14:checkedState w14:val="2612" w14:font="MS Gothic"/>
            <w14:uncheckedState w14:val="2610" w14:font="MS Gothic"/>
          </w14:checkbox>
        </w:sdtPr>
        <w:sdtEndPr/>
        <w:sdtContent>
          <w:r w:rsidR="009F5FD6">
            <w:rPr>
              <w:rFonts w:ascii="MS Gothic" w:eastAsia="MS Gothic" w:hAnsi="MS Gothic" w:hint="eastAsia"/>
            </w:rPr>
            <w:t>☐</w:t>
          </w:r>
        </w:sdtContent>
      </w:sdt>
      <w:r w:rsidR="00A33ED4" w:rsidRPr="00A75560">
        <w:t xml:space="preserve"> </w:t>
      </w:r>
      <w:r w:rsidR="00A33ED4" w:rsidRPr="00FF1DDD">
        <w:t xml:space="preserve"> posiadam środki finansowe na zabezpieczenie wkładu własnego do niniejszego projektu</w:t>
      </w:r>
      <w:r w:rsidR="00A33ED4">
        <w:t>,</w:t>
      </w:r>
    </w:p>
    <w:p w14:paraId="448257E6" w14:textId="77777777" w:rsidR="00A33ED4" w:rsidRDefault="00A33ED4" w:rsidP="00A33ED4">
      <w:pPr>
        <w:spacing w:after="0" w:line="240" w:lineRule="auto"/>
        <w:ind w:left="1070"/>
        <w:jc w:val="both"/>
      </w:pPr>
    </w:p>
    <w:p w14:paraId="4781D754" w14:textId="1E11074B" w:rsidR="001157F0" w:rsidRDefault="001157F0" w:rsidP="001157F0">
      <w:pPr>
        <w:numPr>
          <w:ilvl w:val="0"/>
          <w:numId w:val="1"/>
        </w:numPr>
        <w:spacing w:after="0" w:line="240" w:lineRule="auto"/>
        <w:jc w:val="both"/>
      </w:pPr>
      <w:r w:rsidRPr="005E431C">
        <w:t>Oświadczam,</w:t>
      </w:r>
      <w:r w:rsidRPr="00FF1DDD">
        <w:t xml:space="preserve"> że</w:t>
      </w:r>
      <w:r w:rsidR="009F5FD6">
        <w:rPr>
          <w:rStyle w:val="Odwoanieprzypisudolnego"/>
        </w:rPr>
        <w:footnoteReference w:id="2"/>
      </w:r>
    </w:p>
    <w:p w14:paraId="5AE557A5" w14:textId="0D8F50B5" w:rsidR="009F5FD6" w:rsidRPr="009F5FD6" w:rsidRDefault="009F5FD6" w:rsidP="009F5FD6">
      <w:pPr>
        <w:tabs>
          <w:tab w:val="left" w:pos="900"/>
        </w:tabs>
        <w:spacing w:after="120"/>
        <w:ind w:left="1134"/>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 xml:space="preserve">realizując </w:t>
      </w:r>
      <w:r>
        <w:rPr>
          <w:rFonts w:asciiTheme="minorHAnsi" w:eastAsia="Times New Roman" w:hAnsiTheme="minorHAnsi" w:cstheme="minorHAnsi"/>
          <w:lang w:eastAsia="ar-SA"/>
        </w:rPr>
        <w:t xml:space="preserve">niniejszy </w:t>
      </w:r>
      <w:r w:rsidRPr="009F5FD6">
        <w:rPr>
          <w:rFonts w:asciiTheme="minorHAnsi" w:eastAsia="Times New Roman" w:hAnsiTheme="minorHAnsi" w:cstheme="minorHAnsi"/>
          <w:lang w:eastAsia="ar-SA"/>
        </w:rPr>
        <w:t xml:space="preserve">projekt nie mam prawnej możliwości odzyskania poniesionego kosztu podatku od towarów i usług, którego wysokość została zawarta w budżecie Projektu. </w:t>
      </w:r>
    </w:p>
    <w:p w14:paraId="2B60481C" w14:textId="77777777" w:rsidR="009F5FD6" w:rsidRPr="009F5FD6" w:rsidRDefault="009F5FD6" w:rsidP="009F5FD6">
      <w:pPr>
        <w:tabs>
          <w:tab w:val="left" w:pos="900"/>
        </w:tabs>
        <w:spacing w:after="120"/>
        <w:ind w:left="1134"/>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Zobowiązuję się do zwrotu zrefundowanej w ramach Projektu części poniesionego podatku od towarów i usług, jeżeli zaistnieją przesłanki umożliwiające odzyskanie tego podatku</w:t>
      </w:r>
      <w:r w:rsidRPr="009F5FD6">
        <w:rPr>
          <w:rFonts w:asciiTheme="minorHAnsi" w:eastAsia="Times New Roman" w:hAnsiTheme="minorHAnsi" w:cstheme="minorHAnsi"/>
          <w:vertAlign w:val="superscript"/>
          <w:lang w:eastAsia="ar-SA"/>
        </w:rPr>
        <w:footnoteReference w:id="3"/>
      </w:r>
      <w:r w:rsidRPr="009F5FD6">
        <w:rPr>
          <w:rFonts w:asciiTheme="minorHAnsi" w:eastAsia="Times New Roman" w:hAnsiTheme="minorHAnsi" w:cstheme="minorHAnsi"/>
          <w:lang w:eastAsia="ar-SA"/>
        </w:rPr>
        <w:t>.</w:t>
      </w:r>
    </w:p>
    <w:p w14:paraId="27BB149E" w14:textId="77777777" w:rsidR="009F5FD6" w:rsidRPr="009F5FD6" w:rsidRDefault="009F5FD6" w:rsidP="009F5FD6">
      <w:pPr>
        <w:tabs>
          <w:tab w:val="left" w:pos="900"/>
        </w:tabs>
        <w:spacing w:after="120"/>
        <w:ind w:left="1134"/>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Jednocześnie zobowiązuję się do poinformowania Instytucji Zarządzającej o zmianie statusu podatkowego VAT w okresie realizacji Projektu, jak też po jego zakończeniu, jeśli będzie to miało wpływ na prawną możliwość odzyskania VAT rozliczonego w Projekcie.</w:t>
      </w:r>
    </w:p>
    <w:p w14:paraId="4F12BEF3" w14:textId="77777777" w:rsidR="009F5FD6" w:rsidRPr="009F5FD6" w:rsidRDefault="009F5FD6" w:rsidP="009F5FD6">
      <w:pPr>
        <w:tabs>
          <w:tab w:val="left" w:pos="900"/>
        </w:tabs>
        <w:spacing w:after="120"/>
        <w:ind w:left="1134"/>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069984C2" w14:textId="0900C4F2" w:rsidR="00A33ED4" w:rsidRDefault="007F3C4B" w:rsidP="009F5FD6">
      <w:pPr>
        <w:spacing w:after="0" w:line="240" w:lineRule="auto"/>
        <w:ind w:left="1070"/>
        <w:jc w:val="both"/>
      </w:pPr>
      <w:sdt>
        <w:sdtPr>
          <w:id w:val="-215120551"/>
          <w14:checkbox>
            <w14:checked w14:val="0"/>
            <w14:checkedState w14:val="2612" w14:font="MS Gothic"/>
            <w14:uncheckedState w14:val="2610" w14:font="MS Gothic"/>
          </w14:checkbox>
        </w:sdtPr>
        <w:sdtEndPr/>
        <w:sdtContent>
          <w:r w:rsidR="009F5FD6">
            <w:rPr>
              <w:rFonts w:ascii="MS Gothic" w:eastAsia="MS Gothic" w:hAnsi="MS Gothic" w:hint="eastAsia"/>
            </w:rPr>
            <w:t>☐</w:t>
          </w:r>
        </w:sdtContent>
      </w:sdt>
      <w:r w:rsidR="009F5FD6">
        <w:t>Nie dotyczy</w:t>
      </w:r>
    </w:p>
    <w:p w14:paraId="58BE5114" w14:textId="77777777" w:rsidR="003B09E4" w:rsidRDefault="003B09E4" w:rsidP="003B09E4">
      <w:pPr>
        <w:spacing w:after="0" w:line="240" w:lineRule="auto"/>
        <w:jc w:val="both"/>
      </w:pPr>
    </w:p>
    <w:p w14:paraId="0AC557E5" w14:textId="36932678" w:rsidR="00E9607D" w:rsidRPr="00FF1DDD" w:rsidRDefault="002F75A1" w:rsidP="00E9607D">
      <w:pPr>
        <w:spacing w:after="0" w:line="240" w:lineRule="auto"/>
        <w:jc w:val="both"/>
        <w:rPr>
          <w:highlight w:val="yellow"/>
        </w:rPr>
      </w:pPr>
      <w:r w:rsidRPr="00421754">
        <w:rPr>
          <w:rFonts w:cstheme="minorHAnsi"/>
          <w14:ligatures w14:val="none"/>
        </w:rPr>
        <w:lastRenderedPageBreak/>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ych</w:t>
      </w:r>
      <w:r w:rsidRPr="00421754">
        <w:rPr>
          <w:rFonts w:cstheme="minorHAnsi"/>
          <w14:ligatures w14:val="none"/>
        </w:rPr>
        <w:t xml:space="preserve"> oświadcze</w:t>
      </w:r>
      <w:r>
        <w:rPr>
          <w:rFonts w:cstheme="minorHAnsi"/>
          <w14:ligatures w14:val="none"/>
        </w:rPr>
        <w:t>ń.</w:t>
      </w:r>
      <w:r w:rsidRPr="00421754">
        <w:rPr>
          <w:rFonts w:cstheme="minorHAnsi"/>
          <w:sz w:val="24"/>
          <w:szCs w:val="24"/>
        </w:rPr>
        <w:tab/>
      </w:r>
    </w:p>
    <w:p w14:paraId="433391A8" w14:textId="77777777" w:rsidR="00F245CD" w:rsidRDefault="00F245CD" w:rsidP="00F245CD">
      <w:pPr>
        <w:spacing w:after="0"/>
        <w:ind w:left="1276" w:firstLine="17"/>
        <w:jc w:val="both"/>
      </w:pPr>
    </w:p>
    <w:p w14:paraId="203011E9" w14:textId="77777777" w:rsidR="00F245CD" w:rsidRDefault="00F245CD" w:rsidP="00F245CD">
      <w:pPr>
        <w:spacing w:after="0"/>
        <w:ind w:left="1276" w:firstLine="17"/>
        <w:jc w:val="both"/>
      </w:pPr>
    </w:p>
    <w:p w14:paraId="0C1CDA8B" w14:textId="0A8FDD76" w:rsidR="005E431C" w:rsidRDefault="005E431C">
      <w:r>
        <w:t>……………………………………………..</w:t>
      </w:r>
      <w:r>
        <w:tab/>
      </w:r>
      <w:r>
        <w:tab/>
      </w:r>
      <w:r>
        <w:tab/>
      </w:r>
      <w:r>
        <w:tab/>
      </w:r>
      <w:r>
        <w:tab/>
      </w:r>
      <w:r>
        <w:tab/>
        <w:t>…………………………………………….</w:t>
      </w:r>
    </w:p>
    <w:p w14:paraId="3A065A56" w14:textId="365D19DE" w:rsidR="005E431C" w:rsidRPr="005E431C" w:rsidRDefault="005E431C">
      <w:pPr>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00B708C6">
        <w:rPr>
          <w:i/>
          <w:iCs/>
          <w:sz w:val="20"/>
          <w:szCs w:val="20"/>
        </w:rPr>
        <w:t xml:space="preserve">                  </w:t>
      </w:r>
      <w:r w:rsidR="0087261B">
        <w:rPr>
          <w:i/>
          <w:iCs/>
          <w:sz w:val="20"/>
          <w:szCs w:val="20"/>
        </w:rPr>
        <w:t xml:space="preserve"> </w:t>
      </w:r>
      <w:r w:rsidR="0087261B">
        <w:rPr>
          <w:sz w:val="20"/>
          <w:szCs w:val="20"/>
        </w:rPr>
        <w:t xml:space="preserve">   </w:t>
      </w:r>
      <w:r w:rsidR="0087261B" w:rsidRPr="003E56F7">
        <w:rPr>
          <w:i/>
          <w:iCs/>
          <w:sz w:val="20"/>
          <w:szCs w:val="20"/>
        </w:rPr>
        <w:t xml:space="preserve">Podpis </w:t>
      </w:r>
      <w:r w:rsidR="0087261B">
        <w:rPr>
          <w:i/>
          <w:iCs/>
          <w:sz w:val="20"/>
          <w:szCs w:val="20"/>
        </w:rPr>
        <w:t xml:space="preserve">osoby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 xml:space="preserve">        upoważnionej do</w:t>
      </w:r>
      <w:r w:rsidR="002F75A1">
        <w:rPr>
          <w:i/>
          <w:iCs/>
          <w:sz w:val="20"/>
          <w:szCs w:val="20"/>
        </w:rPr>
        <w:t xml:space="preserve"> złożenia</w:t>
      </w:r>
      <w:r w:rsidR="0087261B" w:rsidRPr="0087261B">
        <w:t xml:space="preserve"> </w:t>
      </w:r>
      <w:r w:rsidR="0087261B" w:rsidRPr="0087261B">
        <w:rPr>
          <w:i/>
          <w:iCs/>
          <w:sz w:val="20"/>
          <w:szCs w:val="20"/>
        </w:rPr>
        <w:t xml:space="preserve">oświadczeń w </w:t>
      </w:r>
      <w:r w:rsidR="0087261B" w:rsidRP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imieniu Wnioskodawcy</w:t>
      </w:r>
    </w:p>
    <w:sectPr w:rsidR="005E431C" w:rsidRPr="005E431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1E4FAD7C" w:rsidR="00166516" w:rsidRPr="00166516" w:rsidRDefault="00166516" w:rsidP="00F245CD">
      <w:pPr>
        <w:pStyle w:val="Tekstprzypisudolneg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pPr>
        <w:pStyle w:val="Tekstprzypisudolnego"/>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9F5FD6">
      <w:pPr>
        <w:pStyle w:val="Tekstprzypisudolneg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91C92"/>
    <w:rsid w:val="000B40A9"/>
    <w:rsid w:val="000B41FA"/>
    <w:rsid w:val="000F1F34"/>
    <w:rsid w:val="001157F0"/>
    <w:rsid w:val="00166516"/>
    <w:rsid w:val="00171885"/>
    <w:rsid w:val="001975F7"/>
    <w:rsid w:val="00197F12"/>
    <w:rsid w:val="001E47AD"/>
    <w:rsid w:val="00292CF3"/>
    <w:rsid w:val="002A1524"/>
    <w:rsid w:val="002F660A"/>
    <w:rsid w:val="002F6A25"/>
    <w:rsid w:val="002F75A1"/>
    <w:rsid w:val="00305F1A"/>
    <w:rsid w:val="003B09E4"/>
    <w:rsid w:val="003D066F"/>
    <w:rsid w:val="003D1383"/>
    <w:rsid w:val="003F311A"/>
    <w:rsid w:val="00440807"/>
    <w:rsid w:val="00445FF1"/>
    <w:rsid w:val="0049094F"/>
    <w:rsid w:val="004C59D0"/>
    <w:rsid w:val="00550FA6"/>
    <w:rsid w:val="00552AA4"/>
    <w:rsid w:val="005600D0"/>
    <w:rsid w:val="00592334"/>
    <w:rsid w:val="005A2885"/>
    <w:rsid w:val="005A78B0"/>
    <w:rsid w:val="005C0A1C"/>
    <w:rsid w:val="005D3A37"/>
    <w:rsid w:val="005E431C"/>
    <w:rsid w:val="00671D5A"/>
    <w:rsid w:val="00685D18"/>
    <w:rsid w:val="007055A6"/>
    <w:rsid w:val="007235BF"/>
    <w:rsid w:val="00756401"/>
    <w:rsid w:val="00774307"/>
    <w:rsid w:val="007B56FB"/>
    <w:rsid w:val="007F3C4B"/>
    <w:rsid w:val="0082749B"/>
    <w:rsid w:val="00862FEE"/>
    <w:rsid w:val="0087261B"/>
    <w:rsid w:val="008C4149"/>
    <w:rsid w:val="008D02E5"/>
    <w:rsid w:val="008E273F"/>
    <w:rsid w:val="00916045"/>
    <w:rsid w:val="0095026E"/>
    <w:rsid w:val="00972A0E"/>
    <w:rsid w:val="00991172"/>
    <w:rsid w:val="00993835"/>
    <w:rsid w:val="0099459A"/>
    <w:rsid w:val="009B7273"/>
    <w:rsid w:val="009F5FD6"/>
    <w:rsid w:val="00A33ED4"/>
    <w:rsid w:val="00A50D4A"/>
    <w:rsid w:val="00A75560"/>
    <w:rsid w:val="00A8386A"/>
    <w:rsid w:val="00B068F3"/>
    <w:rsid w:val="00B17B3F"/>
    <w:rsid w:val="00B708C6"/>
    <w:rsid w:val="00B91262"/>
    <w:rsid w:val="00C033C4"/>
    <w:rsid w:val="00C21096"/>
    <w:rsid w:val="00C9161B"/>
    <w:rsid w:val="00CB4D50"/>
    <w:rsid w:val="00CF1FF4"/>
    <w:rsid w:val="00D65EA1"/>
    <w:rsid w:val="00DB7366"/>
    <w:rsid w:val="00E32DB4"/>
    <w:rsid w:val="00E7427E"/>
    <w:rsid w:val="00E9607D"/>
    <w:rsid w:val="00EA628C"/>
    <w:rsid w:val="00F06B1D"/>
    <w:rsid w:val="00F245CD"/>
    <w:rsid w:val="00F4761E"/>
    <w:rsid w:val="00F47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1121</Words>
  <Characters>6729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Wieczorek, Magdalena</cp:lastModifiedBy>
  <cp:revision>7</cp:revision>
  <dcterms:created xsi:type="dcterms:W3CDTF">2023-07-17T07:53:00Z</dcterms:created>
  <dcterms:modified xsi:type="dcterms:W3CDTF">2023-08-16T10:27:00Z</dcterms:modified>
</cp:coreProperties>
</file>