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3C14" w14:textId="77777777" w:rsidR="003E44DB" w:rsidRDefault="003E44DB" w:rsidP="00F75BCC">
      <w:pPr>
        <w:jc w:val="both"/>
        <w:rPr>
          <w:sz w:val="22"/>
          <w:szCs w:val="22"/>
          <w:lang w:eastAsia="en-US"/>
        </w:rPr>
      </w:pPr>
    </w:p>
    <w:p w14:paraId="19052C27" w14:textId="77777777" w:rsidR="003E44DB" w:rsidRPr="003E44DB" w:rsidRDefault="003E44DB" w:rsidP="003E44DB">
      <w:pPr>
        <w:jc w:val="both"/>
        <w:rPr>
          <w:b/>
          <w:bCs/>
          <w:sz w:val="22"/>
          <w:szCs w:val="22"/>
          <w:lang w:eastAsia="en-US"/>
        </w:rPr>
      </w:pPr>
      <w:r w:rsidRPr="003E44DB">
        <w:rPr>
          <w:b/>
          <w:bCs/>
          <w:sz w:val="22"/>
          <w:szCs w:val="22"/>
          <w:lang w:eastAsia="en-US"/>
        </w:rPr>
        <w:t>Pytanie:</w:t>
      </w:r>
    </w:p>
    <w:p w14:paraId="624153B7" w14:textId="4B8A705B" w:rsidR="00E1567A" w:rsidRDefault="00E1567A" w:rsidP="003E44DB">
      <w:pPr>
        <w:jc w:val="both"/>
        <w:rPr>
          <w:sz w:val="22"/>
          <w:szCs w:val="22"/>
          <w:lang w:eastAsia="en-US"/>
        </w:rPr>
      </w:pPr>
      <w:r>
        <w:rPr>
          <w:sz w:val="22"/>
          <w:szCs w:val="22"/>
          <w:lang w:eastAsia="en-US"/>
        </w:rPr>
        <w:t xml:space="preserve">Proszę o wyjaśnienie jaka jest różnica pomiędzy punktem 1) i 2) – wydaje mi się, że oba punkty dotyczą realizacji wspólnego projektu realizowanego przez Wnioskodawcę i jednostkę naukową, określonego w czasie, co potwierdzone ma być umową współpracy. </w:t>
      </w:r>
    </w:p>
    <w:p w14:paraId="7F56F0D9" w14:textId="77777777" w:rsidR="003E44DB" w:rsidRDefault="003E44DB" w:rsidP="003E44DB">
      <w:pPr>
        <w:jc w:val="both"/>
        <w:rPr>
          <w:sz w:val="22"/>
          <w:szCs w:val="22"/>
          <w:lang w:eastAsia="en-US"/>
        </w:rPr>
      </w:pPr>
    </w:p>
    <w:p w14:paraId="74A004D8" w14:textId="4B646E96" w:rsidR="003E44DB" w:rsidRPr="003E44DB" w:rsidRDefault="003E44DB" w:rsidP="003E44DB">
      <w:pPr>
        <w:jc w:val="both"/>
        <w:rPr>
          <w:b/>
          <w:bCs/>
          <w:sz w:val="22"/>
          <w:szCs w:val="22"/>
          <w:lang w:eastAsia="en-US"/>
        </w:rPr>
      </w:pPr>
      <w:r w:rsidRPr="003E44DB">
        <w:rPr>
          <w:b/>
          <w:bCs/>
          <w:sz w:val="22"/>
          <w:szCs w:val="22"/>
          <w:lang w:eastAsia="en-US"/>
        </w:rPr>
        <w:t>Odpowiedź:</w:t>
      </w:r>
    </w:p>
    <w:p w14:paraId="7F3576AF" w14:textId="77777777" w:rsidR="00E1567A" w:rsidRDefault="00E1567A" w:rsidP="00E1567A">
      <w:pPr>
        <w:jc w:val="both"/>
        <w:rPr>
          <w:rFonts w:eastAsiaTheme="minorHAnsi"/>
          <w:sz w:val="22"/>
          <w:szCs w:val="22"/>
          <w:lang w:eastAsia="en-US"/>
        </w:rPr>
      </w:pPr>
      <w:r>
        <w:rPr>
          <w:rFonts w:eastAsiaTheme="minorHAnsi"/>
          <w:sz w:val="22"/>
          <w:szCs w:val="22"/>
          <w:lang w:eastAsia="en-US"/>
        </w:rPr>
        <w:t> </w:t>
      </w:r>
    </w:p>
    <w:p w14:paraId="4117044C" w14:textId="77777777" w:rsidR="00E1567A" w:rsidRDefault="00E1567A" w:rsidP="00F75BCC">
      <w:pPr>
        <w:numPr>
          <w:ilvl w:val="0"/>
          <w:numId w:val="2"/>
        </w:numPr>
        <w:ind w:left="284" w:hanging="284"/>
        <w:rPr>
          <w:sz w:val="22"/>
          <w:szCs w:val="22"/>
          <w:lang w:eastAsia="en-US"/>
        </w:rPr>
      </w:pPr>
      <w:r>
        <w:rPr>
          <w:sz w:val="22"/>
          <w:szCs w:val="22"/>
          <w:lang w:eastAsia="en-US"/>
        </w:rPr>
        <w:t xml:space="preserve">Punkt 1) oraz 2) nie dotyczą tego samego wspólnego projektu </w:t>
      </w:r>
    </w:p>
    <w:p w14:paraId="2B0CA0AB" w14:textId="77777777" w:rsidR="00E1567A" w:rsidRDefault="00E1567A" w:rsidP="00F75BCC">
      <w:pPr>
        <w:numPr>
          <w:ilvl w:val="0"/>
          <w:numId w:val="2"/>
        </w:numPr>
        <w:ind w:left="284" w:hanging="284"/>
        <w:rPr>
          <w:sz w:val="22"/>
          <w:szCs w:val="22"/>
          <w:lang w:eastAsia="en-US"/>
        </w:rPr>
      </w:pPr>
      <w:r>
        <w:rPr>
          <w:sz w:val="22"/>
          <w:szCs w:val="22"/>
          <w:lang w:eastAsia="en-US"/>
        </w:rPr>
        <w:t>Punkt 1) dotyczy konkretnego projektu, o który Wnioskodawca się ubiega w ramach FEŚ 2021-2027</w:t>
      </w:r>
    </w:p>
    <w:p w14:paraId="1E7C776C" w14:textId="77777777" w:rsidR="00E1567A" w:rsidRDefault="00E1567A" w:rsidP="00F75BCC">
      <w:pPr>
        <w:numPr>
          <w:ilvl w:val="0"/>
          <w:numId w:val="2"/>
        </w:numPr>
        <w:ind w:left="284" w:hanging="284"/>
        <w:rPr>
          <w:sz w:val="22"/>
          <w:szCs w:val="22"/>
          <w:lang w:eastAsia="en-US"/>
        </w:rPr>
      </w:pPr>
      <w:r>
        <w:rPr>
          <w:sz w:val="22"/>
          <w:szCs w:val="22"/>
          <w:lang w:eastAsia="en-US"/>
        </w:rPr>
        <w:t>Punkt 2) odnosi się do projektu niezwiązanego z dofinansowaniem w ramach FEŚ 2021-2027, lecz takiego który Wnioskodawca mógł już realizować wcześniej z daną jednostką naukową</w:t>
      </w:r>
    </w:p>
    <w:p w14:paraId="27FE1FA9" w14:textId="77777777" w:rsidR="00E1567A" w:rsidRDefault="00E1567A" w:rsidP="00E1567A">
      <w:pPr>
        <w:rPr>
          <w:rFonts w:eastAsiaTheme="minorHAnsi"/>
          <w:sz w:val="22"/>
          <w:szCs w:val="22"/>
          <w:lang w:eastAsia="en-US"/>
        </w:rPr>
      </w:pPr>
    </w:p>
    <w:p w14:paraId="5B115D6D" w14:textId="30A402FC" w:rsidR="00E1567A" w:rsidRPr="003E44DB" w:rsidRDefault="003E44DB" w:rsidP="00E1567A">
      <w:pPr>
        <w:rPr>
          <w:rFonts w:eastAsiaTheme="minorHAnsi"/>
          <w:b/>
          <w:bCs/>
          <w:sz w:val="22"/>
          <w:szCs w:val="22"/>
          <w:lang w:eastAsia="en-US"/>
        </w:rPr>
      </w:pPr>
      <w:r w:rsidRPr="003E44DB">
        <w:rPr>
          <w:rFonts w:eastAsiaTheme="minorHAnsi"/>
          <w:b/>
          <w:bCs/>
          <w:sz w:val="22"/>
          <w:szCs w:val="22"/>
          <w:lang w:eastAsia="en-US"/>
        </w:rPr>
        <w:t>Pytanie:</w:t>
      </w:r>
    </w:p>
    <w:p w14:paraId="4439FFEE" w14:textId="77777777" w:rsidR="00E1567A" w:rsidRDefault="00E1567A" w:rsidP="003E44DB">
      <w:pPr>
        <w:jc w:val="both"/>
        <w:rPr>
          <w:sz w:val="22"/>
          <w:szCs w:val="22"/>
          <w:u w:val="single"/>
          <w:lang w:eastAsia="en-US"/>
        </w:rPr>
      </w:pPr>
      <w:r>
        <w:rPr>
          <w:sz w:val="22"/>
          <w:szCs w:val="22"/>
          <w:lang w:eastAsia="en-US"/>
        </w:rPr>
        <w:t xml:space="preserve">Czy jeżeli Wnioskodawca podpisze umowę współpracy z uczelnią, gdzie będzie wskazane odniesienie do badań realizowanych w ramach agendy badawczej opisanej w projekcie składanym do działania 1.2, będzie wykaz zadań uczelni oraz wskazane wynagrodzenie za świadczone usługi (pomiary testowe i inne badania jakościowe i wytrzymałościowe) </w:t>
      </w:r>
      <w:r>
        <w:rPr>
          <w:sz w:val="22"/>
          <w:szCs w:val="22"/>
          <w:u w:val="single"/>
          <w:lang w:eastAsia="en-US"/>
        </w:rPr>
        <w:t xml:space="preserve">to spełniony będzie warunek wymieniony w pkt. 1,2, i 4? </w:t>
      </w:r>
    </w:p>
    <w:p w14:paraId="001C256E" w14:textId="77777777" w:rsidR="00E1567A" w:rsidRDefault="00E1567A" w:rsidP="00E1567A">
      <w:pPr>
        <w:rPr>
          <w:rFonts w:eastAsiaTheme="minorHAnsi"/>
          <w:sz w:val="22"/>
          <w:szCs w:val="22"/>
          <w:lang w:eastAsia="en-US"/>
        </w:rPr>
      </w:pPr>
    </w:p>
    <w:p w14:paraId="235E5092" w14:textId="77777777" w:rsidR="003E44DB" w:rsidRPr="003E44DB" w:rsidRDefault="003E44DB" w:rsidP="003E44DB">
      <w:pPr>
        <w:jc w:val="both"/>
        <w:rPr>
          <w:b/>
          <w:bCs/>
          <w:sz w:val="22"/>
          <w:szCs w:val="22"/>
          <w:lang w:eastAsia="en-US"/>
        </w:rPr>
      </w:pPr>
      <w:r w:rsidRPr="003E44DB">
        <w:rPr>
          <w:b/>
          <w:bCs/>
          <w:sz w:val="22"/>
          <w:szCs w:val="22"/>
          <w:lang w:eastAsia="en-US"/>
        </w:rPr>
        <w:t>Odpowiedź:</w:t>
      </w:r>
    </w:p>
    <w:p w14:paraId="77BC08A0" w14:textId="77777777" w:rsidR="003E44DB" w:rsidRDefault="003E44DB" w:rsidP="00E1567A">
      <w:pPr>
        <w:rPr>
          <w:rFonts w:eastAsiaTheme="minorHAnsi"/>
          <w:sz w:val="22"/>
          <w:szCs w:val="22"/>
          <w:lang w:eastAsia="en-US"/>
        </w:rPr>
      </w:pPr>
    </w:p>
    <w:p w14:paraId="52D4A9E0" w14:textId="77777777" w:rsidR="00E1567A" w:rsidRDefault="00E1567A" w:rsidP="00F75BCC">
      <w:pPr>
        <w:numPr>
          <w:ilvl w:val="0"/>
          <w:numId w:val="3"/>
        </w:numPr>
        <w:ind w:left="284" w:hanging="284"/>
        <w:rPr>
          <w:sz w:val="22"/>
          <w:szCs w:val="22"/>
          <w:lang w:eastAsia="en-US"/>
        </w:rPr>
      </w:pPr>
      <w:r>
        <w:rPr>
          <w:sz w:val="22"/>
          <w:szCs w:val="22"/>
          <w:lang w:eastAsia="en-US"/>
        </w:rPr>
        <w:t xml:space="preserve">Zostanie spełniony warunek w pkt. 1 oraz 4 </w:t>
      </w:r>
    </w:p>
    <w:p w14:paraId="4385EA11" w14:textId="77777777" w:rsidR="00E1567A" w:rsidRDefault="00E1567A" w:rsidP="00F75BCC">
      <w:pPr>
        <w:numPr>
          <w:ilvl w:val="0"/>
          <w:numId w:val="3"/>
        </w:numPr>
        <w:ind w:left="284" w:hanging="284"/>
        <w:rPr>
          <w:sz w:val="22"/>
          <w:szCs w:val="22"/>
          <w:lang w:eastAsia="en-US"/>
        </w:rPr>
      </w:pPr>
      <w:r>
        <w:rPr>
          <w:sz w:val="22"/>
          <w:szCs w:val="22"/>
          <w:lang w:eastAsia="en-US"/>
        </w:rPr>
        <w:t>Warunek nie dotyczy pkt. 2 jak zostało wyjaśnione powyżej (Punkt 2) odnosi się do projektu niezależnego z dofinansowaniem w ramach FEŚ 2021-2027, lecz takiego który Wnioskodawca mógł realizować już wcześniej z daną jednostką naukową)</w:t>
      </w:r>
    </w:p>
    <w:p w14:paraId="0371616D" w14:textId="77777777" w:rsidR="00E1567A" w:rsidRDefault="00E1567A" w:rsidP="00E1567A">
      <w:pPr>
        <w:rPr>
          <w:rFonts w:eastAsiaTheme="minorHAnsi"/>
          <w:sz w:val="22"/>
          <w:szCs w:val="22"/>
          <w:lang w:eastAsia="en-US"/>
        </w:rPr>
      </w:pPr>
    </w:p>
    <w:p w14:paraId="7127B8AD" w14:textId="39057290" w:rsidR="00F75BCC" w:rsidRPr="00F75BCC" w:rsidRDefault="00F75BCC" w:rsidP="00F75BCC">
      <w:pPr>
        <w:rPr>
          <w:rFonts w:eastAsiaTheme="minorHAnsi"/>
          <w:b/>
          <w:bCs/>
          <w:sz w:val="22"/>
          <w:szCs w:val="22"/>
          <w:lang w:eastAsia="en-US"/>
        </w:rPr>
      </w:pPr>
      <w:r w:rsidRPr="003E44DB">
        <w:rPr>
          <w:rFonts w:eastAsiaTheme="minorHAnsi"/>
          <w:b/>
          <w:bCs/>
          <w:sz w:val="22"/>
          <w:szCs w:val="22"/>
          <w:lang w:eastAsia="en-US"/>
        </w:rPr>
        <w:t>Pytanie:</w:t>
      </w:r>
    </w:p>
    <w:p w14:paraId="2FB33E82" w14:textId="628DB363" w:rsidR="00E1567A" w:rsidRDefault="00E1567A" w:rsidP="00F75BCC">
      <w:pPr>
        <w:jc w:val="both"/>
        <w:rPr>
          <w:sz w:val="22"/>
          <w:szCs w:val="22"/>
          <w:lang w:eastAsia="en-US"/>
        </w:rPr>
      </w:pPr>
      <w:r>
        <w:rPr>
          <w:sz w:val="22"/>
          <w:szCs w:val="22"/>
          <w:lang w:eastAsia="en-US"/>
        </w:rPr>
        <w:t xml:space="preserve">Czy w pkt. 1 stwierdzenie „wspólnego projektu, o dofinansowanie, którego ubiega się wnioskodawca” może dotyczyć działania 1.2 w ramach Funduszy Europejskich dla Świętokrzyskiego, czy też chodzi o inny konkurs finansowany z Funduszy UE? </w:t>
      </w:r>
    </w:p>
    <w:p w14:paraId="0A71C5A4" w14:textId="77777777" w:rsidR="00E1567A" w:rsidRDefault="00E1567A" w:rsidP="00E1567A">
      <w:pPr>
        <w:ind w:left="720"/>
        <w:rPr>
          <w:rFonts w:eastAsiaTheme="minorHAnsi"/>
          <w:sz w:val="22"/>
          <w:szCs w:val="22"/>
          <w:lang w:eastAsia="en-US"/>
        </w:rPr>
      </w:pPr>
    </w:p>
    <w:p w14:paraId="6589E45C" w14:textId="77777777" w:rsidR="00F75BCC" w:rsidRPr="003E44DB" w:rsidRDefault="00F75BCC" w:rsidP="00F75BCC">
      <w:pPr>
        <w:jc w:val="both"/>
        <w:rPr>
          <w:b/>
          <w:bCs/>
          <w:sz w:val="22"/>
          <w:szCs w:val="22"/>
          <w:lang w:eastAsia="en-US"/>
        </w:rPr>
      </w:pPr>
      <w:r w:rsidRPr="003E44DB">
        <w:rPr>
          <w:b/>
          <w:bCs/>
          <w:sz w:val="22"/>
          <w:szCs w:val="22"/>
          <w:lang w:eastAsia="en-US"/>
        </w:rPr>
        <w:t>Odpowiedź:</w:t>
      </w:r>
    </w:p>
    <w:p w14:paraId="6CAC5294" w14:textId="77777777" w:rsidR="00F75BCC" w:rsidRDefault="00F75BCC" w:rsidP="00E1567A">
      <w:pPr>
        <w:ind w:left="720"/>
        <w:rPr>
          <w:rFonts w:eastAsiaTheme="minorHAnsi"/>
          <w:sz w:val="22"/>
          <w:szCs w:val="22"/>
          <w:lang w:eastAsia="en-US"/>
        </w:rPr>
      </w:pPr>
    </w:p>
    <w:p w14:paraId="49B7D1D6" w14:textId="77777777" w:rsidR="00E1567A" w:rsidRDefault="00E1567A" w:rsidP="00F75BCC">
      <w:pPr>
        <w:numPr>
          <w:ilvl w:val="0"/>
          <w:numId w:val="4"/>
        </w:numPr>
        <w:ind w:left="284" w:hanging="284"/>
        <w:rPr>
          <w:sz w:val="22"/>
          <w:szCs w:val="22"/>
          <w:lang w:eastAsia="en-US"/>
        </w:rPr>
      </w:pPr>
      <w:r>
        <w:rPr>
          <w:sz w:val="22"/>
          <w:szCs w:val="22"/>
          <w:lang w:eastAsia="en-US"/>
        </w:rPr>
        <w:t>Dotyczy działania 1.2 tylko w ramach Funduszy Europejskich dla Świętokrzyskiego 2021-2027</w:t>
      </w:r>
    </w:p>
    <w:p w14:paraId="557C35DE" w14:textId="77777777" w:rsidR="00E1567A" w:rsidRDefault="00E1567A">
      <w:pPr>
        <w:rPr>
          <w:sz w:val="22"/>
          <w:szCs w:val="22"/>
        </w:rPr>
      </w:pPr>
    </w:p>
    <w:p w14:paraId="364F07E1" w14:textId="1A638496" w:rsidR="003E44DB" w:rsidRPr="003E44DB" w:rsidRDefault="003E44DB" w:rsidP="003E44DB">
      <w:pPr>
        <w:rPr>
          <w:rFonts w:eastAsiaTheme="minorHAnsi"/>
          <w:b/>
          <w:bCs/>
          <w:sz w:val="22"/>
          <w:szCs w:val="22"/>
          <w:lang w:eastAsia="en-US"/>
        </w:rPr>
      </w:pPr>
      <w:r w:rsidRPr="003E44DB">
        <w:rPr>
          <w:rFonts w:eastAsiaTheme="minorHAnsi"/>
          <w:b/>
          <w:bCs/>
          <w:sz w:val="22"/>
          <w:szCs w:val="22"/>
          <w:lang w:eastAsia="en-US"/>
        </w:rPr>
        <w:t>Pytanie:</w:t>
      </w:r>
    </w:p>
    <w:p w14:paraId="625C752A" w14:textId="2D6928CD" w:rsidR="00E1567A" w:rsidRPr="003E44DB" w:rsidRDefault="00E1567A" w:rsidP="003E44DB">
      <w:pPr>
        <w:jc w:val="both"/>
        <w:rPr>
          <w:sz w:val="22"/>
          <w:szCs w:val="22"/>
        </w:rPr>
      </w:pPr>
      <w:r w:rsidRPr="003E44DB">
        <w:rPr>
          <w:sz w:val="22"/>
          <w:szCs w:val="22"/>
        </w:rPr>
        <w:t>Mam jeszcze pytanie odnośnie obsługi księgowej i prawnej w ramach projektu. Rozumiem, że stanowią koszty pośrednie i nie są zaliczone do kosztów kwalifikowalnych?</w:t>
      </w:r>
    </w:p>
    <w:p w14:paraId="38E9265B" w14:textId="77777777" w:rsidR="00E1567A" w:rsidRDefault="00E1567A" w:rsidP="00E1567A">
      <w:pPr>
        <w:jc w:val="both"/>
        <w:rPr>
          <w:sz w:val="22"/>
          <w:szCs w:val="22"/>
        </w:rPr>
      </w:pPr>
    </w:p>
    <w:p w14:paraId="5C05C628" w14:textId="7CC244C6" w:rsidR="003E44DB" w:rsidRPr="003E44DB" w:rsidRDefault="003E44DB" w:rsidP="00E1567A">
      <w:pPr>
        <w:jc w:val="both"/>
        <w:rPr>
          <w:b/>
          <w:bCs/>
          <w:sz w:val="22"/>
          <w:szCs w:val="22"/>
          <w:lang w:eastAsia="en-US"/>
        </w:rPr>
      </w:pPr>
      <w:r w:rsidRPr="003E44DB">
        <w:rPr>
          <w:b/>
          <w:bCs/>
          <w:sz w:val="22"/>
          <w:szCs w:val="22"/>
          <w:lang w:eastAsia="en-US"/>
        </w:rPr>
        <w:t>Odpowiedź:</w:t>
      </w:r>
    </w:p>
    <w:p w14:paraId="477BD28E" w14:textId="77777777" w:rsidR="00E1567A" w:rsidRPr="00E1567A" w:rsidRDefault="00E1567A" w:rsidP="00E1567A">
      <w:pPr>
        <w:jc w:val="both"/>
        <w:rPr>
          <w:sz w:val="22"/>
          <w:szCs w:val="22"/>
        </w:rPr>
      </w:pPr>
      <w:r w:rsidRPr="00E1567A">
        <w:rPr>
          <w:sz w:val="22"/>
          <w:szCs w:val="22"/>
        </w:rPr>
        <w:t>Mając na uwadze, iż nabór nr  FESW.01.02-IZ.00-001/23 dedykowany jest na zakup infrastruktury badawczej koszt obsługi księgowej i prawnej w ramach projektu będzie kosztem niekwalifikowalnym.</w:t>
      </w:r>
    </w:p>
    <w:p w14:paraId="30BA3F3B" w14:textId="77777777" w:rsidR="003E44DB" w:rsidRDefault="003E44DB" w:rsidP="00E1567A">
      <w:pPr>
        <w:jc w:val="both"/>
        <w:rPr>
          <w:sz w:val="22"/>
          <w:szCs w:val="22"/>
        </w:rPr>
      </w:pPr>
    </w:p>
    <w:p w14:paraId="1EAA13E3" w14:textId="6B00AB91" w:rsidR="003E44DB" w:rsidRPr="003E44DB" w:rsidRDefault="003E44DB" w:rsidP="003E44DB">
      <w:pPr>
        <w:rPr>
          <w:rFonts w:eastAsiaTheme="minorHAnsi"/>
          <w:b/>
          <w:bCs/>
          <w:sz w:val="22"/>
          <w:szCs w:val="22"/>
          <w:lang w:eastAsia="en-US"/>
        </w:rPr>
      </w:pPr>
      <w:r w:rsidRPr="003E44DB">
        <w:rPr>
          <w:rFonts w:eastAsiaTheme="minorHAnsi"/>
          <w:b/>
          <w:bCs/>
          <w:sz w:val="22"/>
          <w:szCs w:val="22"/>
          <w:lang w:eastAsia="en-US"/>
        </w:rPr>
        <w:t>Pytanie:</w:t>
      </w:r>
    </w:p>
    <w:p w14:paraId="53D33045" w14:textId="0C9080CE" w:rsidR="003E44DB" w:rsidRPr="003E44DB" w:rsidRDefault="003E44DB" w:rsidP="003E44DB">
      <w:pPr>
        <w:jc w:val="both"/>
        <w:rPr>
          <w:sz w:val="22"/>
          <w:szCs w:val="22"/>
        </w:rPr>
      </w:pPr>
      <w:r w:rsidRPr="003E44DB">
        <w:rPr>
          <w:sz w:val="22"/>
          <w:szCs w:val="22"/>
        </w:rPr>
        <w:t xml:space="preserve">Czy poniższe koszty będą zaliczone do wydatków kwalifikowalnych, tj.: </w:t>
      </w:r>
    </w:p>
    <w:p w14:paraId="67EF9A9C" w14:textId="77777777" w:rsidR="003E44DB" w:rsidRPr="003E44DB" w:rsidRDefault="003E44DB" w:rsidP="003E44DB">
      <w:pPr>
        <w:jc w:val="both"/>
        <w:rPr>
          <w:sz w:val="22"/>
          <w:szCs w:val="22"/>
        </w:rPr>
      </w:pPr>
      <w:r w:rsidRPr="003E44DB">
        <w:rPr>
          <w:sz w:val="22"/>
          <w:szCs w:val="22"/>
        </w:rPr>
        <w:t>- zakup hali namiotowej (zestaw do montażu),</w:t>
      </w:r>
    </w:p>
    <w:p w14:paraId="6E0B40D0" w14:textId="77777777" w:rsidR="003E44DB" w:rsidRPr="003E44DB" w:rsidRDefault="003E44DB" w:rsidP="003E44DB">
      <w:pPr>
        <w:jc w:val="both"/>
        <w:rPr>
          <w:sz w:val="22"/>
          <w:szCs w:val="22"/>
        </w:rPr>
      </w:pPr>
      <w:r w:rsidRPr="003E44DB">
        <w:rPr>
          <w:sz w:val="22"/>
          <w:szCs w:val="22"/>
        </w:rPr>
        <w:t>- kontenery morskie i biurowe,</w:t>
      </w:r>
    </w:p>
    <w:p w14:paraId="40C26C37" w14:textId="77777777" w:rsidR="003E44DB" w:rsidRPr="003E44DB" w:rsidRDefault="003E44DB" w:rsidP="003E44DB">
      <w:pPr>
        <w:jc w:val="both"/>
        <w:rPr>
          <w:sz w:val="22"/>
          <w:szCs w:val="22"/>
        </w:rPr>
      </w:pPr>
      <w:r w:rsidRPr="003E44DB">
        <w:rPr>
          <w:sz w:val="22"/>
          <w:szCs w:val="22"/>
        </w:rPr>
        <w:t>- cała linia technologiczna do wytwarzania elementów (</w:t>
      </w:r>
      <w:proofErr w:type="spellStart"/>
      <w:r w:rsidRPr="003E44DB">
        <w:rPr>
          <w:sz w:val="22"/>
          <w:szCs w:val="22"/>
        </w:rPr>
        <w:t>wielopiły</w:t>
      </w:r>
      <w:proofErr w:type="spellEnd"/>
      <w:r w:rsidRPr="003E44DB">
        <w:rPr>
          <w:sz w:val="22"/>
          <w:szCs w:val="22"/>
        </w:rPr>
        <w:t xml:space="preserve">, ukośnice, </w:t>
      </w:r>
      <w:proofErr w:type="spellStart"/>
      <w:r w:rsidRPr="003E44DB">
        <w:rPr>
          <w:sz w:val="22"/>
          <w:szCs w:val="22"/>
        </w:rPr>
        <w:t>itp</w:t>
      </w:r>
      <w:proofErr w:type="spellEnd"/>
      <w:r w:rsidRPr="003E44DB">
        <w:rPr>
          <w:sz w:val="22"/>
          <w:szCs w:val="22"/>
        </w:rPr>
        <w:t>),</w:t>
      </w:r>
    </w:p>
    <w:p w14:paraId="7DBE4F2C" w14:textId="77777777" w:rsidR="003E44DB" w:rsidRPr="003E44DB" w:rsidRDefault="003E44DB" w:rsidP="003E44DB">
      <w:pPr>
        <w:jc w:val="both"/>
        <w:rPr>
          <w:sz w:val="22"/>
          <w:szCs w:val="22"/>
        </w:rPr>
      </w:pPr>
      <w:r w:rsidRPr="003E44DB">
        <w:rPr>
          <w:sz w:val="22"/>
          <w:szCs w:val="22"/>
        </w:rPr>
        <w:t>- komputer i licencje z programami do analizy statycznej elementów i system do obsługi projektu - czy jest jakiś limit procentowy na wydatki związane z komputerami i niezbędnym oprogramowaniem?</w:t>
      </w:r>
    </w:p>
    <w:p w14:paraId="08F038FC" w14:textId="77777777" w:rsidR="003E44DB" w:rsidRPr="003E44DB" w:rsidRDefault="003E44DB" w:rsidP="003E44DB">
      <w:pPr>
        <w:jc w:val="both"/>
        <w:rPr>
          <w:sz w:val="22"/>
          <w:szCs w:val="22"/>
        </w:rPr>
      </w:pPr>
      <w:r w:rsidRPr="003E44DB">
        <w:rPr>
          <w:sz w:val="22"/>
          <w:szCs w:val="22"/>
        </w:rPr>
        <w:lastRenderedPageBreak/>
        <w:t>- auto dostawcze,</w:t>
      </w:r>
    </w:p>
    <w:p w14:paraId="6CCC60CF" w14:textId="02C6C18A" w:rsidR="003E44DB" w:rsidRDefault="003E44DB" w:rsidP="003E44DB">
      <w:pPr>
        <w:jc w:val="both"/>
        <w:rPr>
          <w:sz w:val="22"/>
          <w:szCs w:val="22"/>
        </w:rPr>
      </w:pPr>
      <w:r w:rsidRPr="003E44DB">
        <w:rPr>
          <w:sz w:val="22"/>
          <w:szCs w:val="22"/>
        </w:rPr>
        <w:t>- dzierżawa gruntu.</w:t>
      </w:r>
    </w:p>
    <w:p w14:paraId="54BC1244" w14:textId="77777777" w:rsidR="003E44DB" w:rsidRDefault="003E44DB" w:rsidP="003E44DB">
      <w:pPr>
        <w:jc w:val="both"/>
        <w:rPr>
          <w:sz w:val="22"/>
          <w:szCs w:val="22"/>
        </w:rPr>
      </w:pPr>
    </w:p>
    <w:p w14:paraId="3C31F573" w14:textId="5B47C8B5" w:rsidR="003E44DB" w:rsidRPr="003E44DB" w:rsidRDefault="003E44DB" w:rsidP="00E1567A">
      <w:pPr>
        <w:jc w:val="both"/>
        <w:rPr>
          <w:b/>
          <w:bCs/>
          <w:sz w:val="22"/>
          <w:szCs w:val="22"/>
          <w:lang w:eastAsia="en-US"/>
        </w:rPr>
      </w:pPr>
      <w:r w:rsidRPr="003E44DB">
        <w:rPr>
          <w:b/>
          <w:bCs/>
          <w:sz w:val="22"/>
          <w:szCs w:val="22"/>
          <w:lang w:eastAsia="en-US"/>
        </w:rPr>
        <w:t>Odpowiedź:</w:t>
      </w:r>
    </w:p>
    <w:p w14:paraId="744977C9" w14:textId="3591FA09" w:rsidR="00E1567A" w:rsidRPr="00E1567A" w:rsidRDefault="00E1567A" w:rsidP="00E1567A">
      <w:pPr>
        <w:jc w:val="both"/>
        <w:rPr>
          <w:sz w:val="22"/>
          <w:szCs w:val="22"/>
        </w:rPr>
      </w:pPr>
      <w:r w:rsidRPr="00E1567A">
        <w:rPr>
          <w:sz w:val="22"/>
          <w:szCs w:val="22"/>
        </w:rPr>
        <w:t xml:space="preserve">Wszystkie wydatki w ramach projektu muszą być nierozerwalnie związane z inwestycją. Infrastruktura B+R musi służyć do prowadzenia prac badawczych w okresie trwałości. Ponadto wydatki muszą być zgodne z wytycznymi w zakresie kwalifikowalności wydatków. Wymienione przez Panią środki trwałe oraz wartości niematerialne i prawne mogą zostać uznane za kwalifikowalne jeśli będą stanowiły wyposażenie laboratorium oraz będą niezbędne do wykonania badań założonych w agendzie badawczej. </w:t>
      </w:r>
    </w:p>
    <w:p w14:paraId="1A51CFF9" w14:textId="77777777" w:rsidR="003E44DB" w:rsidRDefault="003E44DB" w:rsidP="00E1567A">
      <w:pPr>
        <w:jc w:val="both"/>
        <w:rPr>
          <w:sz w:val="22"/>
          <w:szCs w:val="22"/>
        </w:rPr>
      </w:pPr>
    </w:p>
    <w:p w14:paraId="2481D2DA" w14:textId="090A77D8" w:rsidR="003E44DB" w:rsidRPr="003E44DB" w:rsidRDefault="003E44DB" w:rsidP="003E44DB">
      <w:pPr>
        <w:rPr>
          <w:rFonts w:eastAsiaTheme="minorHAnsi"/>
          <w:b/>
          <w:bCs/>
          <w:sz w:val="22"/>
          <w:szCs w:val="22"/>
          <w:lang w:eastAsia="en-US"/>
        </w:rPr>
      </w:pPr>
      <w:r w:rsidRPr="003E44DB">
        <w:rPr>
          <w:rFonts w:eastAsiaTheme="minorHAnsi"/>
          <w:b/>
          <w:bCs/>
          <w:sz w:val="22"/>
          <w:szCs w:val="22"/>
          <w:lang w:eastAsia="en-US"/>
        </w:rPr>
        <w:t>Pytanie:</w:t>
      </w:r>
    </w:p>
    <w:p w14:paraId="6B7D0DBE" w14:textId="559732B9" w:rsidR="003E44DB" w:rsidRPr="003E44DB" w:rsidRDefault="003E44DB" w:rsidP="003E44DB">
      <w:pPr>
        <w:jc w:val="both"/>
        <w:rPr>
          <w:sz w:val="22"/>
          <w:szCs w:val="22"/>
        </w:rPr>
      </w:pPr>
      <w:r w:rsidRPr="003E44DB">
        <w:rPr>
          <w:sz w:val="22"/>
          <w:szCs w:val="22"/>
        </w:rPr>
        <w:t>Czy usługi zlecone w stylu analizy i badania wpisują się w wydatki niematerialne i prawne? Koszt ten stanowić będzie wydatek kwalifikowalny?</w:t>
      </w:r>
    </w:p>
    <w:p w14:paraId="3C4944A5" w14:textId="77777777" w:rsidR="003E44DB" w:rsidRDefault="003E44DB" w:rsidP="00E1567A">
      <w:pPr>
        <w:jc w:val="both"/>
        <w:rPr>
          <w:sz w:val="22"/>
          <w:szCs w:val="22"/>
        </w:rPr>
      </w:pPr>
    </w:p>
    <w:p w14:paraId="55EAAB70" w14:textId="28306A08" w:rsidR="003E44DB" w:rsidRPr="003E44DB" w:rsidRDefault="003E44DB" w:rsidP="00E1567A">
      <w:pPr>
        <w:jc w:val="both"/>
        <w:rPr>
          <w:b/>
          <w:bCs/>
          <w:sz w:val="22"/>
          <w:szCs w:val="22"/>
          <w:lang w:eastAsia="en-US"/>
        </w:rPr>
      </w:pPr>
      <w:r w:rsidRPr="003E44DB">
        <w:rPr>
          <w:b/>
          <w:bCs/>
          <w:sz w:val="22"/>
          <w:szCs w:val="22"/>
          <w:lang w:eastAsia="en-US"/>
        </w:rPr>
        <w:t>Odpowiedź:</w:t>
      </w:r>
    </w:p>
    <w:p w14:paraId="327E9E7E" w14:textId="4FA441CC" w:rsidR="00E1567A" w:rsidRDefault="00E1567A" w:rsidP="00E1567A">
      <w:pPr>
        <w:jc w:val="both"/>
        <w:rPr>
          <w:sz w:val="22"/>
          <w:szCs w:val="22"/>
        </w:rPr>
      </w:pPr>
      <w:r w:rsidRPr="00E1567A">
        <w:rPr>
          <w:sz w:val="22"/>
          <w:szCs w:val="22"/>
        </w:rPr>
        <w:t>Analizy i badania nie będą stanowiły kosztu kwalifikowalnego w ramach naboru nr FESW.01.02-IZ.00-001/23.</w:t>
      </w:r>
    </w:p>
    <w:p w14:paraId="4CE76753" w14:textId="77777777" w:rsidR="003E44DB" w:rsidRDefault="003E44DB" w:rsidP="00E1567A">
      <w:pPr>
        <w:jc w:val="both"/>
        <w:rPr>
          <w:sz w:val="22"/>
          <w:szCs w:val="22"/>
        </w:rPr>
      </w:pPr>
    </w:p>
    <w:p w14:paraId="4B0FAC12" w14:textId="193F6224" w:rsidR="003E44DB" w:rsidRPr="003E44DB" w:rsidRDefault="003E44DB" w:rsidP="003E44DB">
      <w:pPr>
        <w:rPr>
          <w:rFonts w:eastAsiaTheme="minorHAnsi"/>
          <w:b/>
          <w:bCs/>
          <w:sz w:val="22"/>
          <w:szCs w:val="22"/>
          <w:lang w:eastAsia="en-US"/>
        </w:rPr>
      </w:pPr>
      <w:r w:rsidRPr="003E44DB">
        <w:rPr>
          <w:rFonts w:eastAsiaTheme="minorHAnsi"/>
          <w:b/>
          <w:bCs/>
          <w:sz w:val="22"/>
          <w:szCs w:val="22"/>
          <w:lang w:eastAsia="en-US"/>
        </w:rPr>
        <w:t>Pytanie:</w:t>
      </w:r>
    </w:p>
    <w:p w14:paraId="45552D0F" w14:textId="09C44ECC" w:rsidR="003E44DB" w:rsidRPr="003E44DB" w:rsidRDefault="003E44DB" w:rsidP="003E44DB">
      <w:pPr>
        <w:jc w:val="both"/>
        <w:rPr>
          <w:sz w:val="22"/>
          <w:szCs w:val="22"/>
        </w:rPr>
      </w:pPr>
      <w:r w:rsidRPr="003E44DB">
        <w:rPr>
          <w:sz w:val="22"/>
          <w:szCs w:val="22"/>
        </w:rPr>
        <w:t>Rozumiem, że żadne inne roboty budowlane oprócz wymienionych w dokumentacji (remont, dostosowanie pomieszczeń) nie mogą zostać uznane za kwalifikowalne?</w:t>
      </w:r>
    </w:p>
    <w:p w14:paraId="66289CE6" w14:textId="77777777" w:rsidR="003E44DB" w:rsidRPr="00E1567A" w:rsidRDefault="003E44DB" w:rsidP="00E1567A">
      <w:pPr>
        <w:jc w:val="both"/>
        <w:rPr>
          <w:sz w:val="22"/>
          <w:szCs w:val="22"/>
        </w:rPr>
      </w:pPr>
    </w:p>
    <w:p w14:paraId="5EE6A64A" w14:textId="7F1DA947" w:rsidR="003E44DB" w:rsidRPr="003E44DB" w:rsidRDefault="003E44DB" w:rsidP="00E1567A">
      <w:pPr>
        <w:jc w:val="both"/>
        <w:rPr>
          <w:b/>
          <w:bCs/>
          <w:sz w:val="22"/>
          <w:szCs w:val="22"/>
          <w:lang w:eastAsia="en-US"/>
        </w:rPr>
      </w:pPr>
      <w:r w:rsidRPr="003E44DB">
        <w:rPr>
          <w:b/>
          <w:bCs/>
          <w:sz w:val="22"/>
          <w:szCs w:val="22"/>
          <w:lang w:eastAsia="en-US"/>
        </w:rPr>
        <w:t>Odpowiedź:</w:t>
      </w:r>
    </w:p>
    <w:p w14:paraId="2A8F1776" w14:textId="2FA4C357" w:rsidR="00E1567A" w:rsidRDefault="00E1567A" w:rsidP="00E1567A">
      <w:pPr>
        <w:jc w:val="both"/>
        <w:rPr>
          <w:sz w:val="22"/>
          <w:szCs w:val="22"/>
        </w:rPr>
      </w:pPr>
      <w:r w:rsidRPr="00E1567A">
        <w:rPr>
          <w:sz w:val="22"/>
          <w:szCs w:val="22"/>
        </w:rPr>
        <w:t>Zgodnie z Regulaminem naboru nr FESW.01.02-IZ.00-001/23 w uzasadnionych przypadkach za koszt kwalifikowalny można uznać remont, modernizację pomieszczeń umożliwiającą montaż zakupionej w ramach projektu aparatury badawczej, której koszt stanowić będzie nie więcej niż 20% wartości wydatków kwalifikowalnych w projekcie. Ocenie podlegać będzie czy prace te są niezbędne do wykonania.</w:t>
      </w:r>
    </w:p>
    <w:p w14:paraId="1FFBFFF1" w14:textId="77777777" w:rsidR="00E1567A" w:rsidRDefault="00E1567A" w:rsidP="00E1567A">
      <w:pPr>
        <w:jc w:val="both"/>
        <w:rPr>
          <w:sz w:val="22"/>
          <w:szCs w:val="22"/>
        </w:rPr>
      </w:pPr>
    </w:p>
    <w:p w14:paraId="5B9EE9CA" w14:textId="26E3B17B" w:rsidR="003E44DB" w:rsidRPr="003E44DB" w:rsidRDefault="003E44DB" w:rsidP="003E44DB">
      <w:pPr>
        <w:rPr>
          <w:rFonts w:eastAsiaTheme="minorHAnsi"/>
          <w:b/>
          <w:bCs/>
          <w:sz w:val="22"/>
          <w:szCs w:val="22"/>
          <w:lang w:eastAsia="en-US"/>
        </w:rPr>
      </w:pPr>
      <w:r w:rsidRPr="003E44DB">
        <w:rPr>
          <w:rFonts w:eastAsiaTheme="minorHAnsi"/>
          <w:b/>
          <w:bCs/>
          <w:sz w:val="22"/>
          <w:szCs w:val="22"/>
          <w:lang w:eastAsia="en-US"/>
        </w:rPr>
        <w:t>Pytanie:</w:t>
      </w:r>
    </w:p>
    <w:p w14:paraId="272F9CB6" w14:textId="5DC7F8C1" w:rsidR="00E1567A" w:rsidRPr="003E44DB" w:rsidRDefault="00E1567A" w:rsidP="003E44DB">
      <w:pPr>
        <w:jc w:val="both"/>
        <w:rPr>
          <w:sz w:val="22"/>
          <w:szCs w:val="22"/>
        </w:rPr>
      </w:pPr>
      <w:r w:rsidRPr="003E44DB">
        <w:rPr>
          <w:sz w:val="22"/>
          <w:szCs w:val="22"/>
        </w:rPr>
        <w:t>Wynagrodzenia czy też bieżące utrzymywanie stanowi koszt niekwalifikowalny?</w:t>
      </w:r>
    </w:p>
    <w:p w14:paraId="70D51AB3" w14:textId="77777777" w:rsidR="00E1567A" w:rsidRPr="00E1567A" w:rsidRDefault="00E1567A" w:rsidP="00E1567A">
      <w:pPr>
        <w:jc w:val="both"/>
        <w:rPr>
          <w:sz w:val="22"/>
          <w:szCs w:val="22"/>
        </w:rPr>
      </w:pPr>
    </w:p>
    <w:p w14:paraId="47AD34E0" w14:textId="266B2936" w:rsidR="003E44DB" w:rsidRPr="003E44DB" w:rsidRDefault="003E44DB" w:rsidP="00E1567A">
      <w:pPr>
        <w:jc w:val="both"/>
        <w:rPr>
          <w:b/>
          <w:bCs/>
          <w:sz w:val="22"/>
          <w:szCs w:val="22"/>
          <w:lang w:eastAsia="en-US"/>
        </w:rPr>
      </w:pPr>
      <w:r w:rsidRPr="003E44DB">
        <w:rPr>
          <w:b/>
          <w:bCs/>
          <w:sz w:val="22"/>
          <w:szCs w:val="22"/>
          <w:lang w:eastAsia="en-US"/>
        </w:rPr>
        <w:t>Odpowiedź:</w:t>
      </w:r>
    </w:p>
    <w:p w14:paraId="137B5C3A" w14:textId="081C7B27" w:rsidR="00E1567A" w:rsidRDefault="00E1567A" w:rsidP="00E1567A">
      <w:pPr>
        <w:jc w:val="both"/>
        <w:rPr>
          <w:sz w:val="22"/>
          <w:szCs w:val="22"/>
        </w:rPr>
      </w:pPr>
      <w:r w:rsidRPr="00E1567A">
        <w:rPr>
          <w:sz w:val="22"/>
          <w:szCs w:val="22"/>
        </w:rPr>
        <w:t>Wynagrodzenia oraz  bieżące utrzymywanie w ramach  naboru nr FESW.01.02-IZ.00-001/23 stanowi koszt niekwalifikowalny.</w:t>
      </w:r>
    </w:p>
    <w:p w14:paraId="57017BA0" w14:textId="77777777" w:rsidR="00E1567A" w:rsidRDefault="00E1567A" w:rsidP="00E1567A">
      <w:pPr>
        <w:jc w:val="both"/>
        <w:rPr>
          <w:sz w:val="22"/>
          <w:szCs w:val="22"/>
        </w:rPr>
      </w:pPr>
    </w:p>
    <w:p w14:paraId="608EB195" w14:textId="67ADCA24" w:rsidR="003E44DB" w:rsidRPr="003E44DB" w:rsidRDefault="003E44DB" w:rsidP="003E44DB">
      <w:pPr>
        <w:rPr>
          <w:rFonts w:eastAsiaTheme="minorHAnsi"/>
          <w:b/>
          <w:bCs/>
          <w:sz w:val="22"/>
          <w:szCs w:val="22"/>
          <w:lang w:eastAsia="en-US"/>
        </w:rPr>
      </w:pPr>
      <w:r w:rsidRPr="003E44DB">
        <w:rPr>
          <w:rFonts w:eastAsiaTheme="minorHAnsi"/>
          <w:b/>
          <w:bCs/>
          <w:sz w:val="22"/>
          <w:szCs w:val="22"/>
          <w:lang w:eastAsia="en-US"/>
        </w:rPr>
        <w:t>Pytanie:</w:t>
      </w:r>
    </w:p>
    <w:p w14:paraId="02F84140" w14:textId="25F26EBB" w:rsidR="003E44DB" w:rsidRPr="003E44DB" w:rsidRDefault="003E44DB" w:rsidP="003E44DB">
      <w:pPr>
        <w:jc w:val="both"/>
        <w:rPr>
          <w:sz w:val="22"/>
          <w:szCs w:val="22"/>
        </w:rPr>
      </w:pPr>
      <w:r w:rsidRPr="003E44DB">
        <w:rPr>
          <w:sz w:val="22"/>
          <w:szCs w:val="22"/>
        </w:rPr>
        <w:t>W regulaminie konkursu w pkt. 4.2 widnieje zapis: Wnioskodawca musi prowadzić działalność gospodarczą minimum 24 miesiące przed złożeniem wniosku o dofinansowanie.</w:t>
      </w:r>
    </w:p>
    <w:p w14:paraId="3009C67A" w14:textId="08EBD3F3" w:rsidR="003E44DB" w:rsidRDefault="003E44DB" w:rsidP="003E44DB">
      <w:pPr>
        <w:jc w:val="both"/>
        <w:rPr>
          <w:sz w:val="22"/>
          <w:szCs w:val="22"/>
        </w:rPr>
      </w:pPr>
      <w:r w:rsidRPr="003E44DB">
        <w:rPr>
          <w:sz w:val="22"/>
          <w:szCs w:val="22"/>
        </w:rPr>
        <w:t>Czy powyższy zapis odnosi się również do pkt. 4.4 odnośnie wykonywania działalności na terenie województwa  świętokrzyskiego?</w:t>
      </w:r>
    </w:p>
    <w:p w14:paraId="4E4AB3C5" w14:textId="77777777" w:rsidR="003E44DB" w:rsidRDefault="003E44DB" w:rsidP="003E44DB">
      <w:pPr>
        <w:jc w:val="both"/>
        <w:rPr>
          <w:sz w:val="22"/>
          <w:szCs w:val="22"/>
        </w:rPr>
      </w:pPr>
    </w:p>
    <w:p w14:paraId="173D2820" w14:textId="540C8ECA" w:rsidR="003E44DB" w:rsidRPr="003E44DB" w:rsidRDefault="003E44DB" w:rsidP="003E44DB">
      <w:pPr>
        <w:jc w:val="both"/>
        <w:rPr>
          <w:b/>
          <w:bCs/>
          <w:sz w:val="22"/>
          <w:szCs w:val="22"/>
          <w:lang w:eastAsia="en-US"/>
        </w:rPr>
      </w:pPr>
      <w:r w:rsidRPr="003E44DB">
        <w:rPr>
          <w:b/>
          <w:bCs/>
          <w:sz w:val="22"/>
          <w:szCs w:val="22"/>
          <w:lang w:eastAsia="en-US"/>
        </w:rPr>
        <w:t>Odpowiedź:</w:t>
      </w:r>
    </w:p>
    <w:p w14:paraId="4C6407C1" w14:textId="126FBF58" w:rsidR="00E1567A" w:rsidRPr="00E1567A" w:rsidRDefault="003E44DB" w:rsidP="00E1567A">
      <w:pPr>
        <w:jc w:val="both"/>
        <w:rPr>
          <w:sz w:val="22"/>
          <w:szCs w:val="22"/>
        </w:rPr>
      </w:pPr>
      <w:r w:rsidRPr="003E44DB">
        <w:rPr>
          <w:sz w:val="22"/>
          <w:szCs w:val="22"/>
        </w:rPr>
        <w:t>W związku z zapytaniem dot. prowadzenia działalności gospodarczej na terenie Województwa świętokrzyskiego informuję iż wymogiem zapisanym w punkcie 4.2 jest zapis który odnosi się do działalności gospodarczej prowadzonej przez co najmniej 24 miesiące, natomiast punkt 4.4 wyraźnie mówi iż wsparcie otrzymają przedsiębiorstwa które są zarejestrowane na terenie RP oraz wykonujące działalność na terenie województwa świętokrzyskiego. Nie ma zapisu który mówi, że wymaganym jest prowadzenie działalności gospodarczej na terenie województwa świętokrzyskiego na dwa lata przed złożeniem wniosku. Potwierdzeniem powyższego jest zapis w punkcie 4.4 „Powyższe weryfikowane będzie na podstawie wpisu do CEIDG albo KRS na moment złożenia wniosku o dofinansowanie.</w:t>
      </w:r>
    </w:p>
    <w:sectPr w:rsidR="00E1567A" w:rsidRPr="00E156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7EC3" w14:textId="77777777" w:rsidR="0027201C" w:rsidRDefault="0027201C" w:rsidP="003E44DB">
      <w:r>
        <w:separator/>
      </w:r>
    </w:p>
  </w:endnote>
  <w:endnote w:type="continuationSeparator" w:id="0">
    <w:p w14:paraId="5469C36C" w14:textId="77777777" w:rsidR="0027201C" w:rsidRDefault="0027201C" w:rsidP="003E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8A76" w14:textId="77777777" w:rsidR="0027201C" w:rsidRDefault="0027201C" w:rsidP="003E44DB">
      <w:r>
        <w:separator/>
      </w:r>
    </w:p>
  </w:footnote>
  <w:footnote w:type="continuationSeparator" w:id="0">
    <w:p w14:paraId="02AFEE75" w14:textId="77777777" w:rsidR="0027201C" w:rsidRDefault="0027201C" w:rsidP="003E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FACF" w14:textId="60AB7038" w:rsidR="003E44DB" w:rsidRPr="003E44DB" w:rsidRDefault="003E44DB" w:rsidP="003E44DB">
    <w:pPr>
      <w:pStyle w:val="Nagwek"/>
    </w:pPr>
    <w:r>
      <w:rPr>
        <w:noProof/>
      </w:rPr>
      <w:drawing>
        <wp:inline distT="0" distB="0" distL="0" distR="0" wp14:anchorId="2BFD0377" wp14:editId="070F01FD">
          <wp:extent cx="5760720" cy="433022"/>
          <wp:effectExtent l="0" t="0" r="0" b="5715"/>
          <wp:docPr id="14641766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30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249"/>
    <w:multiLevelType w:val="hybridMultilevel"/>
    <w:tmpl w:val="BD7CEE24"/>
    <w:lvl w:ilvl="0" w:tplc="3A2AC38E">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3C0BF2"/>
    <w:multiLevelType w:val="hybridMultilevel"/>
    <w:tmpl w:val="E060634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D1D1049"/>
    <w:multiLevelType w:val="hybridMultilevel"/>
    <w:tmpl w:val="8756736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73F37E5F"/>
    <w:multiLevelType w:val="hybridMultilevel"/>
    <w:tmpl w:val="2E3C3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C1F01C7"/>
    <w:multiLevelType w:val="hybridMultilevel"/>
    <w:tmpl w:val="D924E34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86213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512617">
    <w:abstractNumId w:val="2"/>
  </w:num>
  <w:num w:numId="3" w16cid:durableId="665329955">
    <w:abstractNumId w:val="1"/>
  </w:num>
  <w:num w:numId="4" w16cid:durableId="762994932">
    <w:abstractNumId w:val="4"/>
  </w:num>
  <w:num w:numId="5" w16cid:durableId="46354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7A"/>
    <w:rsid w:val="0027201C"/>
    <w:rsid w:val="003E44DB"/>
    <w:rsid w:val="006B1A55"/>
    <w:rsid w:val="0097014D"/>
    <w:rsid w:val="009C02E6"/>
    <w:rsid w:val="00DA560C"/>
    <w:rsid w:val="00E1567A"/>
    <w:rsid w:val="00F75B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E94F"/>
  <w15:chartTrackingRefBased/>
  <w15:docId w15:val="{807E7FBC-EAA5-4675-9371-6AAEFF1D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4DB"/>
    <w:pPr>
      <w:spacing w:after="0" w:line="240" w:lineRule="auto"/>
    </w:pPr>
    <w:rPr>
      <w:rFonts w:ascii="Calibri" w:eastAsia="Times New Roman" w:hAnsi="Calibri" w:cs="Calibri"/>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67A"/>
    <w:pPr>
      <w:ind w:left="720"/>
      <w:contextualSpacing/>
    </w:pPr>
  </w:style>
  <w:style w:type="paragraph" w:styleId="Nagwek">
    <w:name w:val="header"/>
    <w:basedOn w:val="Normalny"/>
    <w:link w:val="NagwekZnak"/>
    <w:uiPriority w:val="99"/>
    <w:unhideWhenUsed/>
    <w:rsid w:val="003E44DB"/>
    <w:pPr>
      <w:tabs>
        <w:tab w:val="center" w:pos="4536"/>
        <w:tab w:val="right" w:pos="9072"/>
      </w:tabs>
    </w:pPr>
  </w:style>
  <w:style w:type="character" w:customStyle="1" w:styleId="NagwekZnak">
    <w:name w:val="Nagłówek Znak"/>
    <w:basedOn w:val="Domylnaczcionkaakapitu"/>
    <w:link w:val="Nagwek"/>
    <w:uiPriority w:val="99"/>
    <w:rsid w:val="003E44DB"/>
    <w:rPr>
      <w:rFonts w:ascii="Calibri" w:eastAsia="Times New Roman" w:hAnsi="Calibri" w:cs="Calibri"/>
      <w:kern w:val="0"/>
      <w:sz w:val="20"/>
      <w:szCs w:val="20"/>
      <w:lang w:eastAsia="pl-PL"/>
      <w14:ligatures w14:val="none"/>
    </w:rPr>
  </w:style>
  <w:style w:type="paragraph" w:styleId="Stopka">
    <w:name w:val="footer"/>
    <w:basedOn w:val="Normalny"/>
    <w:link w:val="StopkaZnak"/>
    <w:uiPriority w:val="99"/>
    <w:unhideWhenUsed/>
    <w:rsid w:val="003E44DB"/>
    <w:pPr>
      <w:tabs>
        <w:tab w:val="center" w:pos="4536"/>
        <w:tab w:val="right" w:pos="9072"/>
      </w:tabs>
    </w:pPr>
  </w:style>
  <w:style w:type="character" w:customStyle="1" w:styleId="StopkaZnak">
    <w:name w:val="Stopka Znak"/>
    <w:basedOn w:val="Domylnaczcionkaakapitu"/>
    <w:link w:val="Stopka"/>
    <w:uiPriority w:val="99"/>
    <w:rsid w:val="003E44DB"/>
    <w:rPr>
      <w:rFonts w:ascii="Calibri" w:eastAsia="Times New Roman" w:hAnsi="Calibri" w:cs="Calibri"/>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3E44DB"/>
  </w:style>
  <w:style w:type="character" w:customStyle="1" w:styleId="TekstprzypisukocowegoZnak">
    <w:name w:val="Tekst przypisu końcowego Znak"/>
    <w:basedOn w:val="Domylnaczcionkaakapitu"/>
    <w:link w:val="Tekstprzypisukocowego"/>
    <w:uiPriority w:val="99"/>
    <w:semiHidden/>
    <w:rsid w:val="003E44DB"/>
    <w:rPr>
      <w:rFonts w:ascii="Calibri" w:eastAsia="Times New Roman" w:hAnsi="Calibri" w:cs="Calibri"/>
      <w:kern w:val="0"/>
      <w:sz w:val="20"/>
      <w:szCs w:val="20"/>
      <w:lang w:eastAsia="pl-PL"/>
      <w14:ligatures w14:val="none"/>
    </w:rPr>
  </w:style>
  <w:style w:type="character" w:styleId="Odwoanieprzypisukocowego">
    <w:name w:val="endnote reference"/>
    <w:basedOn w:val="Domylnaczcionkaakapitu"/>
    <w:uiPriority w:val="99"/>
    <w:semiHidden/>
    <w:unhideWhenUsed/>
    <w:rsid w:val="003E4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727</Words>
  <Characters>4367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Milczarek, Justyna</dc:creator>
  <cp:keywords/>
  <dc:description/>
  <cp:lastModifiedBy>Milczarek, Justyna</cp:lastModifiedBy>
  <cp:revision>2</cp:revision>
  <dcterms:created xsi:type="dcterms:W3CDTF">2024-02-27T09:46:00Z</dcterms:created>
  <dcterms:modified xsi:type="dcterms:W3CDTF">2024-02-28T08:57:00Z</dcterms:modified>
</cp:coreProperties>
</file>