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74" w:rsidRDefault="00140CFB" w:rsidP="00271074">
      <w:r>
        <w:rPr>
          <w:rFonts w:ascii="Arial" w:hAnsi="Arial" w:cs="Arial"/>
          <w:b/>
          <w:sz w:val="24"/>
          <w:szCs w:val="24"/>
          <w:u w:val="single"/>
        </w:rPr>
        <w:t>O</w:t>
      </w:r>
      <w:r w:rsidRPr="00FE16AE">
        <w:rPr>
          <w:rFonts w:ascii="Arial" w:hAnsi="Arial" w:cs="Arial"/>
          <w:b/>
          <w:sz w:val="24"/>
          <w:szCs w:val="24"/>
          <w:u w:val="single"/>
        </w:rPr>
        <w:t>bliczani</w:t>
      </w:r>
      <w:r>
        <w:rPr>
          <w:rFonts w:ascii="Arial" w:hAnsi="Arial" w:cs="Arial"/>
          <w:b/>
          <w:sz w:val="24"/>
          <w:szCs w:val="24"/>
          <w:u w:val="single"/>
        </w:rPr>
        <w:t>e</w:t>
      </w:r>
      <w:r w:rsidRPr="00FE16AE">
        <w:rPr>
          <w:rFonts w:ascii="Arial" w:hAnsi="Arial" w:cs="Arial"/>
          <w:b/>
          <w:sz w:val="24"/>
          <w:szCs w:val="24"/>
          <w:u w:val="single"/>
        </w:rPr>
        <w:t xml:space="preserve"> wskaźnika koncentracji aglomeracji</w:t>
      </w:r>
      <w:r w:rsidR="00271074" w:rsidRPr="00271074">
        <w:t xml:space="preserve"> </w:t>
      </w:r>
    </w:p>
    <w:p w:rsidR="00140CFB" w:rsidRPr="009278CE" w:rsidRDefault="009E4213" w:rsidP="00271074">
      <w:pPr>
        <w:rPr>
          <w:rFonts w:ascii="Arial" w:eastAsia="Times New Roman" w:hAnsi="Arial" w:cs="Arial"/>
          <w:i/>
          <w:sz w:val="18"/>
          <w:szCs w:val="18"/>
          <w:lang w:eastAsia="pl-PL"/>
        </w:rPr>
      </w:pPr>
      <w:r>
        <w:rPr>
          <w:rFonts w:ascii="Arial" w:eastAsia="Times New Roman" w:hAnsi="Arial" w:cs="Arial"/>
          <w:i/>
          <w:sz w:val="18"/>
          <w:szCs w:val="18"/>
          <w:lang w:eastAsia="pl-PL"/>
        </w:rPr>
        <w:t xml:space="preserve">Na przykładzie </w:t>
      </w:r>
      <w:r w:rsidR="00271074" w:rsidRPr="00AC5043">
        <w:rPr>
          <w:rFonts w:ascii="Arial" w:eastAsia="Times New Roman" w:hAnsi="Arial" w:cs="Arial"/>
          <w:i/>
          <w:sz w:val="18"/>
          <w:szCs w:val="18"/>
          <w:lang w:eastAsia="pl-PL"/>
        </w:rPr>
        <w:t>metodyki</w:t>
      </w:r>
      <w:r w:rsidR="00271074" w:rsidRPr="009278CE">
        <w:rPr>
          <w:rFonts w:ascii="Arial" w:eastAsia="Times New Roman" w:hAnsi="Arial" w:cs="Arial"/>
          <w:i/>
          <w:sz w:val="18"/>
          <w:szCs w:val="18"/>
          <w:lang w:eastAsia="pl-PL"/>
        </w:rPr>
        <w:t xml:space="preserve">  </w:t>
      </w:r>
      <w:r w:rsidR="00271074" w:rsidRPr="00AC5043">
        <w:rPr>
          <w:rFonts w:ascii="Arial" w:eastAsia="Times New Roman" w:hAnsi="Arial" w:cs="Arial"/>
          <w:i/>
          <w:sz w:val="18"/>
          <w:szCs w:val="18"/>
          <w:lang w:eastAsia="pl-PL"/>
        </w:rPr>
        <w:t>obliczania</w:t>
      </w:r>
      <w:r w:rsidR="00271074" w:rsidRPr="009278CE">
        <w:rPr>
          <w:rFonts w:ascii="Arial" w:eastAsia="Times New Roman" w:hAnsi="Arial" w:cs="Arial"/>
          <w:i/>
          <w:sz w:val="18"/>
          <w:szCs w:val="18"/>
          <w:lang w:eastAsia="pl-PL"/>
        </w:rPr>
        <w:t xml:space="preserve">  </w:t>
      </w:r>
      <w:r w:rsidR="00271074" w:rsidRPr="00AC5043">
        <w:rPr>
          <w:rFonts w:ascii="Arial" w:eastAsia="Times New Roman" w:hAnsi="Arial" w:cs="Arial"/>
          <w:i/>
          <w:sz w:val="18"/>
          <w:szCs w:val="18"/>
          <w:lang w:eastAsia="pl-PL"/>
        </w:rPr>
        <w:t>wskaźnika</w:t>
      </w:r>
      <w:r w:rsidR="00271074" w:rsidRPr="009278CE">
        <w:rPr>
          <w:rFonts w:ascii="Arial" w:eastAsia="Times New Roman" w:hAnsi="Arial" w:cs="Arial"/>
          <w:i/>
          <w:sz w:val="18"/>
          <w:szCs w:val="18"/>
          <w:lang w:eastAsia="pl-PL"/>
        </w:rPr>
        <w:t xml:space="preserve">  </w:t>
      </w:r>
      <w:r w:rsidR="00271074" w:rsidRPr="00AC5043">
        <w:rPr>
          <w:rFonts w:ascii="Arial" w:eastAsia="Times New Roman" w:hAnsi="Arial" w:cs="Arial"/>
          <w:i/>
          <w:sz w:val="18"/>
          <w:szCs w:val="18"/>
          <w:lang w:eastAsia="pl-PL"/>
        </w:rPr>
        <w:t>koncentracji</w:t>
      </w:r>
      <w:r w:rsidR="00271074" w:rsidRPr="009278CE">
        <w:rPr>
          <w:rFonts w:ascii="Arial" w:eastAsia="Times New Roman" w:hAnsi="Arial" w:cs="Arial"/>
          <w:i/>
          <w:sz w:val="18"/>
          <w:szCs w:val="18"/>
          <w:lang w:eastAsia="pl-PL"/>
        </w:rPr>
        <w:t xml:space="preserve"> </w:t>
      </w:r>
      <w:r w:rsidR="00271074" w:rsidRPr="00AC5043">
        <w:rPr>
          <w:rFonts w:ascii="Arial" w:eastAsia="Times New Roman" w:hAnsi="Arial" w:cs="Arial"/>
          <w:i/>
          <w:sz w:val="18"/>
          <w:szCs w:val="18"/>
          <w:lang w:eastAsia="pl-PL"/>
        </w:rPr>
        <w:t>aglomeracji</w:t>
      </w:r>
      <w:r w:rsidR="00271074" w:rsidRPr="009278CE">
        <w:rPr>
          <w:rFonts w:ascii="Arial" w:eastAsia="Times New Roman" w:hAnsi="Arial" w:cs="Arial"/>
          <w:i/>
          <w:sz w:val="18"/>
          <w:szCs w:val="18"/>
          <w:lang w:eastAsia="pl-PL"/>
        </w:rPr>
        <w:t xml:space="preserve">  opracowanej przez Narodowy Fundusz Ochrony Środowiska i Gospodarki Wodnej.</w:t>
      </w:r>
    </w:p>
    <w:p w:rsidR="00140CFB" w:rsidRPr="00FE16AE" w:rsidRDefault="00140CFB" w:rsidP="00140CFB">
      <w:pPr>
        <w:spacing w:after="120" w:line="22" w:lineRule="atLeast"/>
        <w:rPr>
          <w:rFonts w:ascii="Arial" w:hAnsi="Arial" w:cs="Arial"/>
          <w:b/>
          <w:u w:val="single"/>
        </w:rPr>
      </w:pPr>
    </w:p>
    <w:p w:rsidR="00140CFB" w:rsidRPr="00140CFB" w:rsidRDefault="00140CFB" w:rsidP="00140CFB">
      <w:pPr>
        <w:spacing w:after="120" w:line="22" w:lineRule="atLeast"/>
        <w:jc w:val="both"/>
        <w:rPr>
          <w:rFonts w:ascii="Arial" w:hAnsi="Arial" w:cs="Arial"/>
          <w:szCs w:val="20"/>
          <w:u w:val="single"/>
        </w:rPr>
      </w:pPr>
      <w:r w:rsidRPr="00FE16AE">
        <w:rPr>
          <w:rFonts w:ascii="Arial" w:hAnsi="Arial" w:cs="Arial"/>
          <w:szCs w:val="20"/>
        </w:rPr>
        <w:t xml:space="preserve">Metodyka ma na celu wskazanie sposobu wyliczenia wskaźnika koncentracji aglomeracji niezbędnego dla przeprowadzenia oceny wniosku o dofinasowanie w ramach </w:t>
      </w:r>
      <w:r>
        <w:rPr>
          <w:rFonts w:ascii="Arial" w:hAnsi="Arial" w:cs="Arial"/>
          <w:szCs w:val="20"/>
        </w:rPr>
        <w:t>RPO WŚ</w:t>
      </w:r>
      <w:r w:rsidRPr="00FE16AE">
        <w:rPr>
          <w:rFonts w:ascii="Arial" w:hAnsi="Arial" w:cs="Arial"/>
          <w:szCs w:val="20"/>
        </w:rPr>
        <w:t xml:space="preserve"> 2014-2020 - </w:t>
      </w:r>
      <w:r>
        <w:rPr>
          <w:rFonts w:cs="Arial"/>
          <w:b/>
        </w:rPr>
        <w:t xml:space="preserve">Działanie </w:t>
      </w:r>
      <w:r w:rsidRPr="00287837">
        <w:rPr>
          <w:rFonts w:cs="Arial"/>
          <w:b/>
        </w:rPr>
        <w:t xml:space="preserve">4.3 </w:t>
      </w:r>
      <w:r w:rsidRPr="00287837">
        <w:rPr>
          <w:b/>
        </w:rPr>
        <w:t>Gospodarka wodno-</w:t>
      </w:r>
      <w:r w:rsidRPr="009F5BD3">
        <w:rPr>
          <w:b/>
        </w:rPr>
        <w:t>ściekowa</w:t>
      </w:r>
      <w:r w:rsidRPr="00FE16AE">
        <w:rPr>
          <w:rFonts w:ascii="Arial" w:hAnsi="Arial" w:cs="Arial"/>
          <w:szCs w:val="20"/>
        </w:rPr>
        <w:t xml:space="preserve">, w ramach których </w:t>
      </w:r>
      <w:r w:rsidRPr="00140CFB">
        <w:rPr>
          <w:rFonts w:ascii="Arial" w:hAnsi="Arial" w:cs="Arial"/>
          <w:szCs w:val="20"/>
          <w:u w:val="single"/>
        </w:rPr>
        <w:t xml:space="preserve">budowana będzie sieć kanalizacji sanitarnej. </w:t>
      </w:r>
    </w:p>
    <w:p w:rsidR="00140CFB" w:rsidRPr="00FE16AE" w:rsidRDefault="00140CFB" w:rsidP="00140CFB">
      <w:pPr>
        <w:spacing w:after="120" w:line="22" w:lineRule="atLeast"/>
        <w:jc w:val="both"/>
        <w:rPr>
          <w:rFonts w:ascii="Arial" w:hAnsi="Arial" w:cs="Arial"/>
          <w:b/>
        </w:rPr>
      </w:pPr>
    </w:p>
    <w:p w:rsidR="00140CFB" w:rsidRPr="00271074" w:rsidRDefault="00140CFB" w:rsidP="00140CFB">
      <w:pPr>
        <w:pStyle w:val="Akapitzlist"/>
        <w:spacing w:after="120" w:line="22" w:lineRule="atLeast"/>
        <w:ind w:left="0"/>
        <w:jc w:val="both"/>
        <w:rPr>
          <w:rFonts w:ascii="Arial" w:hAnsi="Arial" w:cs="Arial"/>
          <w:b/>
          <w:u w:val="single"/>
        </w:rPr>
      </w:pPr>
      <w:r w:rsidRPr="00140CFB">
        <w:rPr>
          <w:rFonts w:ascii="Arial" w:hAnsi="Arial" w:cs="Arial"/>
          <w:b/>
        </w:rPr>
        <w:t>Wskaźniki i obliczenia powinny odnosić się do obszarów znajdujących się w granicach aglomeracji wyznaczonej zgodnie z rozporządzeniem wojewody lub uchwałą sejmiku województwa (</w:t>
      </w:r>
      <w:r w:rsidRPr="00271074">
        <w:rPr>
          <w:rFonts w:ascii="Arial" w:hAnsi="Arial" w:cs="Arial"/>
          <w:b/>
          <w:u w:val="single"/>
        </w:rPr>
        <w:t>nie do obszaru znajdującego się w granicach administracyjnych gminy);</w:t>
      </w:r>
    </w:p>
    <w:p w:rsidR="00140CFB" w:rsidRPr="00271074" w:rsidRDefault="00140CFB" w:rsidP="00140CFB">
      <w:pPr>
        <w:pStyle w:val="Default"/>
        <w:spacing w:after="120" w:line="22" w:lineRule="atLeast"/>
        <w:ind w:left="284" w:hanging="284"/>
        <w:jc w:val="both"/>
        <w:rPr>
          <w:rFonts w:ascii="Arial" w:hAnsi="Arial" w:cs="Arial"/>
          <w:sz w:val="23"/>
          <w:szCs w:val="23"/>
          <w:u w:val="single"/>
        </w:rPr>
      </w:pPr>
    </w:p>
    <w:p w:rsidR="00140CFB" w:rsidRDefault="00140CFB" w:rsidP="00140CFB">
      <w:pPr>
        <w:spacing w:after="120" w:line="22" w:lineRule="atLeast"/>
        <w:rPr>
          <w:rFonts w:ascii="Arial" w:hAnsi="Arial" w:cs="Arial"/>
          <w:szCs w:val="20"/>
        </w:rPr>
      </w:pPr>
      <w:r w:rsidRPr="00140CFB">
        <w:rPr>
          <w:rFonts w:ascii="Arial" w:hAnsi="Arial" w:cs="Arial"/>
          <w:szCs w:val="20"/>
        </w:rPr>
        <w:t>Wskaźnik koncentracji aglomeracji należy wyliczyć zgodnie ze wzorem:</w:t>
      </w:r>
    </w:p>
    <w:p w:rsidR="00140CFB" w:rsidRDefault="00140CFB" w:rsidP="00140CFB">
      <w:pPr>
        <w:spacing w:after="120" w:line="22" w:lineRule="atLeast"/>
        <w:rPr>
          <w:rFonts w:ascii="Arial" w:hAnsi="Arial" w:cs="Arial"/>
          <w:szCs w:val="20"/>
        </w:rPr>
      </w:pPr>
    </w:p>
    <w:p w:rsidR="00140CFB" w:rsidRPr="00FE16AE" w:rsidRDefault="00140CFB" w:rsidP="00140CFB">
      <w:pPr>
        <w:spacing w:after="120" w:line="22" w:lineRule="atLeast"/>
        <w:ind w:left="284"/>
        <w:jc w:val="both"/>
        <w:rPr>
          <w:rFonts w:ascii="Arial" w:hAnsi="Arial" w:cs="Arial"/>
        </w:rPr>
      </w:pPr>
      <w:r w:rsidRPr="00FE16AE">
        <w:rPr>
          <w:rFonts w:ascii="Arial" w:hAnsi="Arial" w:cs="Arial"/>
          <w:b/>
        </w:rPr>
        <w:t>W120</w:t>
      </w:r>
      <w:r w:rsidRPr="00FE16AE">
        <w:rPr>
          <w:rFonts w:ascii="Arial" w:hAnsi="Arial" w:cs="Arial"/>
        </w:rPr>
        <w:t xml:space="preserve"> – wskaźnik koncentracji aglomeracji dotyczący tej części aglomeracji, która nie jest położona na obszarach wyznaczonych na podstawie § 3 ust. 5 rozporządzenia  Ministra Środowiska w sprawie sposobu wyznaczania obszaru i granic aglomeracji.</w:t>
      </w:r>
    </w:p>
    <w:p w:rsidR="00140CFB" w:rsidRPr="00140CFB" w:rsidRDefault="00140CFB" w:rsidP="00140CFB">
      <w:pPr>
        <w:spacing w:after="120" w:line="22" w:lineRule="atLeast"/>
        <w:rPr>
          <w:rFonts w:ascii="Arial" w:hAnsi="Arial" w:cs="Arial"/>
          <w:szCs w:val="20"/>
        </w:rPr>
      </w:pPr>
    </w:p>
    <w:p w:rsidR="00140CFB" w:rsidRPr="00FE16AE" w:rsidRDefault="00140CFB" w:rsidP="00140CFB">
      <w:pPr>
        <w:spacing w:after="120" w:line="22" w:lineRule="atLeast"/>
        <w:rPr>
          <w:rFonts w:ascii="Arial" w:hAnsi="Arial" w:cs="Arial"/>
          <w:szCs w:val="20"/>
        </w:rPr>
      </w:pPr>
    </w:p>
    <w:p w:rsidR="00140CFB" w:rsidRDefault="00140CFB" w:rsidP="00140CFB">
      <w:pPr>
        <w:spacing w:after="120" w:line="22" w:lineRule="atLeast"/>
        <w:ind w:left="709"/>
        <w:rPr>
          <w:rFonts w:ascii="Arial" w:eastAsiaTheme="minorEastAsia" w:hAnsi="Arial" w:cs="Arial"/>
          <w:szCs w:val="20"/>
        </w:rPr>
      </w:pPr>
      <m:oMathPara>
        <m:oMath>
          <m:r>
            <m:rPr>
              <m:sty m:val="p"/>
            </m:rPr>
            <w:rPr>
              <w:rFonts w:ascii="Cambria Math" w:hAnsi="Arial" w:cs="Arial"/>
              <w:szCs w:val="20"/>
            </w:rPr>
            <m:t xml:space="preserve">W120 </m:t>
          </m:r>
          <m:d>
            <m:dPr>
              <m:begChr m:val="["/>
              <m:endChr m:val="]"/>
              <m:ctrlPr>
                <w:rPr>
                  <w:rFonts w:ascii="Cambria Math" w:hAnsi="Arial" w:cs="Arial"/>
                  <w:szCs w:val="20"/>
                </w:rPr>
              </m:ctrlPr>
            </m:dPr>
            <m:e>
              <m:f>
                <m:fPr>
                  <m:ctrlPr>
                    <w:rPr>
                      <w:rFonts w:ascii="Cambria Math" w:hAnsi="Arial" w:cs="Arial"/>
                      <w:szCs w:val="20"/>
                    </w:rPr>
                  </m:ctrlPr>
                </m:fPr>
                <m:num>
                  <m:r>
                    <m:rPr>
                      <m:sty m:val="p"/>
                    </m:rPr>
                    <w:rPr>
                      <w:rFonts w:ascii="Cambria Math" w:hAnsi="Arial" w:cs="Arial"/>
                      <w:szCs w:val="20"/>
                    </w:rPr>
                    <m:t>Mk</m:t>
                  </m:r>
                </m:num>
                <m:den>
                  <m:r>
                    <m:rPr>
                      <m:sty m:val="p"/>
                    </m:rPr>
                    <w:rPr>
                      <w:rFonts w:ascii="Cambria Math" w:hAnsi="Arial" w:cs="Arial"/>
                      <w:szCs w:val="20"/>
                    </w:rPr>
                    <m:t>km</m:t>
                  </m:r>
                </m:den>
              </m:f>
            </m:e>
          </m:d>
          <m:r>
            <w:rPr>
              <w:rFonts w:ascii="Cambria Math" w:hAnsi="Arial" w:cs="Arial"/>
              <w:szCs w:val="20"/>
            </w:rPr>
            <m:t xml:space="preserve">= </m:t>
          </m:r>
          <m:f>
            <m:fPr>
              <m:ctrlPr>
                <w:rPr>
                  <w:rFonts w:ascii="Cambria Math" w:hAnsi="Arial" w:cs="Arial"/>
                  <w:i/>
                  <w:szCs w:val="20"/>
                </w:rPr>
              </m:ctrlPr>
            </m:fPr>
            <m:num>
              <m:r>
                <m:rPr>
                  <m:sty m:val="p"/>
                </m:rPr>
                <w:rPr>
                  <w:rFonts w:ascii="Cambria Math" w:hAnsi="Arial" w:cs="Arial"/>
                  <w:szCs w:val="20"/>
                </w:rPr>
                <m:t xml:space="preserve">Mk ist+Mk plan  </m:t>
              </m:r>
            </m:num>
            <m:den>
              <m:r>
                <m:rPr>
                  <m:sty m:val="p"/>
                </m:rPr>
                <w:rPr>
                  <w:rFonts w:ascii="Cambria Math" w:hAnsi="Arial" w:cs="Arial"/>
                  <w:szCs w:val="20"/>
                </w:rPr>
                <m:t xml:space="preserve">L ist+L plan </m:t>
              </m:r>
            </m:den>
          </m:f>
        </m:oMath>
      </m:oMathPara>
    </w:p>
    <w:p w:rsidR="00140CFB" w:rsidRDefault="00140CFB" w:rsidP="00140CFB">
      <w:pPr>
        <w:spacing w:after="120" w:line="22" w:lineRule="atLeast"/>
        <w:ind w:left="709"/>
        <w:rPr>
          <w:rFonts w:ascii="Arial" w:eastAsiaTheme="minorEastAsia" w:hAnsi="Arial" w:cs="Arial"/>
          <w:szCs w:val="20"/>
        </w:rPr>
      </w:pPr>
    </w:p>
    <w:p w:rsidR="00140CFB" w:rsidRPr="00FE16AE" w:rsidRDefault="00140CFB" w:rsidP="00140CFB">
      <w:pPr>
        <w:spacing w:after="120" w:line="22" w:lineRule="atLeast"/>
        <w:ind w:left="284"/>
        <w:jc w:val="both"/>
        <w:rPr>
          <w:rFonts w:ascii="Arial" w:hAnsi="Arial" w:cs="Arial"/>
        </w:rPr>
      </w:pPr>
      <w:r w:rsidRPr="00FE16AE">
        <w:rPr>
          <w:rFonts w:ascii="Arial" w:hAnsi="Arial" w:cs="Arial"/>
          <w:b/>
        </w:rPr>
        <w:t>W90</w:t>
      </w:r>
      <w:r w:rsidRPr="00FE16AE">
        <w:rPr>
          <w:rFonts w:ascii="Arial" w:hAnsi="Arial" w:cs="Arial"/>
        </w:rPr>
        <w:t xml:space="preserve"> – wskaźnik koncentracji aglomeracji dotyczy tej części obszaru aglomeracji, która została  wyznaczona na podstawie § 3 ust. 5 rozporządzenia  Ministra Środowiska w sprawie sposobu wyznaczania obszaru i granic aglomeracji. </w:t>
      </w:r>
    </w:p>
    <w:p w:rsidR="00140CFB" w:rsidRDefault="00140CFB" w:rsidP="00140CFB">
      <w:pPr>
        <w:spacing w:after="120" w:line="22" w:lineRule="atLeast"/>
        <w:ind w:left="709"/>
        <w:rPr>
          <w:rFonts w:ascii="Arial" w:eastAsiaTheme="minorEastAsia" w:hAnsi="Arial" w:cs="Arial"/>
          <w:szCs w:val="20"/>
        </w:rPr>
      </w:pPr>
    </w:p>
    <w:p w:rsidR="00140CFB" w:rsidRPr="00FE16AE" w:rsidRDefault="00140CFB" w:rsidP="00140CFB">
      <w:pPr>
        <w:spacing w:after="120" w:line="22" w:lineRule="atLeast"/>
        <w:ind w:left="709"/>
        <w:rPr>
          <w:rFonts w:ascii="Arial" w:hAnsi="Arial" w:cs="Arial"/>
          <w:szCs w:val="20"/>
        </w:rPr>
      </w:pPr>
    </w:p>
    <w:p w:rsidR="00140CFB" w:rsidRPr="00FE16AE" w:rsidRDefault="00140CFB" w:rsidP="00140CFB">
      <w:pPr>
        <w:spacing w:after="120" w:line="22" w:lineRule="atLeast"/>
        <w:ind w:left="709"/>
        <w:rPr>
          <w:rFonts w:ascii="Arial" w:hAnsi="Arial" w:cs="Arial"/>
          <w:szCs w:val="20"/>
        </w:rPr>
      </w:pPr>
      <m:oMathPara>
        <m:oMath>
          <m:r>
            <m:rPr>
              <m:sty m:val="p"/>
            </m:rPr>
            <w:rPr>
              <w:rFonts w:ascii="Cambria Math" w:hAnsi="Arial" w:cs="Arial"/>
              <w:szCs w:val="20"/>
            </w:rPr>
            <m:t xml:space="preserve">W90 </m:t>
          </m:r>
          <m:d>
            <m:dPr>
              <m:begChr m:val="["/>
              <m:endChr m:val="]"/>
              <m:ctrlPr>
                <w:rPr>
                  <w:rFonts w:ascii="Cambria Math" w:hAnsi="Arial" w:cs="Arial"/>
                  <w:szCs w:val="20"/>
                </w:rPr>
              </m:ctrlPr>
            </m:dPr>
            <m:e>
              <m:f>
                <m:fPr>
                  <m:ctrlPr>
                    <w:rPr>
                      <w:rFonts w:ascii="Cambria Math" w:hAnsi="Arial" w:cs="Arial"/>
                      <w:szCs w:val="20"/>
                    </w:rPr>
                  </m:ctrlPr>
                </m:fPr>
                <m:num>
                  <m:r>
                    <m:rPr>
                      <m:sty m:val="p"/>
                    </m:rPr>
                    <w:rPr>
                      <w:rFonts w:ascii="Cambria Math" w:hAnsi="Arial" w:cs="Arial"/>
                      <w:szCs w:val="20"/>
                    </w:rPr>
                    <m:t>Mk</m:t>
                  </m:r>
                </m:num>
                <m:den>
                  <m:r>
                    <m:rPr>
                      <m:sty m:val="p"/>
                    </m:rPr>
                    <w:rPr>
                      <w:rFonts w:ascii="Cambria Math" w:hAnsi="Arial" w:cs="Arial"/>
                      <w:szCs w:val="20"/>
                    </w:rPr>
                    <m:t>km</m:t>
                  </m:r>
                </m:den>
              </m:f>
            </m:e>
          </m:d>
          <m:r>
            <w:rPr>
              <w:rFonts w:ascii="Cambria Math" w:hAnsi="Arial" w:cs="Arial"/>
              <w:szCs w:val="20"/>
            </w:rPr>
            <m:t xml:space="preserve">= </m:t>
          </m:r>
          <m:f>
            <m:fPr>
              <m:ctrlPr>
                <w:rPr>
                  <w:rFonts w:ascii="Cambria Math" w:hAnsi="Arial" w:cs="Arial"/>
                  <w:i/>
                  <w:szCs w:val="20"/>
                </w:rPr>
              </m:ctrlPr>
            </m:fPr>
            <m:num>
              <m:r>
                <m:rPr>
                  <m:sty m:val="p"/>
                </m:rPr>
                <w:rPr>
                  <w:rFonts w:ascii="Cambria Math" w:hAnsi="Arial" w:cs="Arial"/>
                  <w:szCs w:val="20"/>
                </w:rPr>
                <m:t xml:space="preserve">Mk ist+Mk plan  </m:t>
              </m:r>
            </m:num>
            <m:den>
              <m:r>
                <m:rPr>
                  <m:sty m:val="p"/>
                </m:rPr>
                <w:rPr>
                  <w:rFonts w:ascii="Cambria Math" w:hAnsi="Arial" w:cs="Arial"/>
                  <w:szCs w:val="20"/>
                </w:rPr>
                <m:t xml:space="preserve">L ist+L plan </m:t>
              </m:r>
            </m:den>
          </m:f>
        </m:oMath>
      </m:oMathPara>
    </w:p>
    <w:p w:rsidR="00140CFB" w:rsidRPr="00FE16AE" w:rsidRDefault="00140CFB" w:rsidP="00140CFB">
      <w:pPr>
        <w:spacing w:after="120" w:line="22" w:lineRule="atLeast"/>
        <w:rPr>
          <w:rFonts w:ascii="Arial" w:hAnsi="Arial" w:cs="Arial"/>
          <w:szCs w:val="20"/>
        </w:rPr>
      </w:pPr>
    </w:p>
    <w:p w:rsidR="00140CFB" w:rsidRPr="00FE16AE" w:rsidRDefault="00140CFB" w:rsidP="00140CFB">
      <w:pPr>
        <w:pStyle w:val="Tekstprzypisudolnego"/>
        <w:spacing w:after="120" w:line="22" w:lineRule="atLeast"/>
        <w:ind w:left="284" w:firstLine="0"/>
        <w:rPr>
          <w:rFonts w:ascii="Arial" w:eastAsiaTheme="minorHAnsi" w:hAnsi="Arial" w:cs="Arial"/>
          <w:sz w:val="22"/>
          <w:szCs w:val="22"/>
          <w:lang w:eastAsia="en-US"/>
        </w:rPr>
      </w:pPr>
      <w:r w:rsidRPr="00FE16AE">
        <w:rPr>
          <w:rFonts w:ascii="Arial" w:eastAsiaTheme="minorHAnsi" w:hAnsi="Arial" w:cs="Arial"/>
          <w:b/>
          <w:sz w:val="22"/>
          <w:szCs w:val="22"/>
          <w:lang w:eastAsia="en-US"/>
        </w:rPr>
        <w:t>Mk ist</w:t>
      </w:r>
      <w:r w:rsidRPr="00FE16AE">
        <w:rPr>
          <w:rFonts w:ascii="Arial" w:eastAsiaTheme="minorHAnsi" w:hAnsi="Arial" w:cs="Arial"/>
          <w:sz w:val="22"/>
          <w:szCs w:val="22"/>
          <w:lang w:eastAsia="en-US"/>
        </w:rPr>
        <w:t xml:space="preserve"> - liczba mieszkańców korzystających z istniejącej sieci kanalizacyjnej.</w:t>
      </w:r>
    </w:p>
    <w:p w:rsidR="00140CFB" w:rsidRPr="00FE16AE" w:rsidRDefault="00140CFB" w:rsidP="00140CFB">
      <w:pPr>
        <w:pStyle w:val="Tekstprzypisudolnego"/>
        <w:spacing w:after="120" w:line="22" w:lineRule="atLeast"/>
        <w:ind w:left="993" w:firstLine="0"/>
        <w:rPr>
          <w:rFonts w:ascii="Arial" w:eastAsiaTheme="minorHAnsi" w:hAnsi="Arial" w:cs="Arial"/>
          <w:sz w:val="22"/>
          <w:szCs w:val="22"/>
          <w:lang w:eastAsia="en-US"/>
        </w:rPr>
      </w:pPr>
      <w:r w:rsidRPr="00FE16AE">
        <w:rPr>
          <w:rFonts w:ascii="Arial" w:eastAsiaTheme="minorHAnsi" w:hAnsi="Arial" w:cs="Arial"/>
          <w:sz w:val="22"/>
          <w:szCs w:val="22"/>
          <w:lang w:eastAsia="en-US"/>
        </w:rPr>
        <w:t>W liczbie tej należy uwzględnić:</w:t>
      </w:r>
    </w:p>
    <w:p w:rsidR="00140CFB" w:rsidRPr="00FE16AE" w:rsidRDefault="00140CFB" w:rsidP="00140CFB">
      <w:pPr>
        <w:pStyle w:val="Tekstprzypisudolnego"/>
        <w:numPr>
          <w:ilvl w:val="1"/>
          <w:numId w:val="3"/>
        </w:numPr>
        <w:spacing w:after="120" w:line="22" w:lineRule="atLeast"/>
        <w:ind w:left="1276" w:hanging="283"/>
        <w:rPr>
          <w:rFonts w:ascii="Arial" w:eastAsiaTheme="minorHAnsi" w:hAnsi="Arial" w:cs="Arial"/>
          <w:sz w:val="22"/>
          <w:szCs w:val="22"/>
          <w:lang w:eastAsia="en-US"/>
        </w:rPr>
      </w:pPr>
      <w:r w:rsidRPr="00FE16AE">
        <w:rPr>
          <w:rFonts w:ascii="Arial" w:eastAsiaTheme="minorHAnsi" w:hAnsi="Arial" w:cs="Arial"/>
          <w:sz w:val="22"/>
          <w:szCs w:val="22"/>
          <w:lang w:eastAsia="en-US"/>
        </w:rPr>
        <w:t>stałych mieszkańców,</w:t>
      </w:r>
    </w:p>
    <w:p w:rsidR="00140CFB" w:rsidRPr="00FE16AE" w:rsidRDefault="00140CFB" w:rsidP="00140CFB">
      <w:pPr>
        <w:pStyle w:val="Tekstprzypisudolnego"/>
        <w:numPr>
          <w:ilvl w:val="1"/>
          <w:numId w:val="3"/>
        </w:numPr>
        <w:spacing w:after="120" w:line="22" w:lineRule="atLeast"/>
        <w:ind w:left="1276" w:hanging="283"/>
        <w:rPr>
          <w:rFonts w:ascii="Arial" w:hAnsi="Arial" w:cs="Arial"/>
          <w:sz w:val="22"/>
          <w:szCs w:val="22"/>
        </w:rPr>
      </w:pPr>
      <w:r w:rsidRPr="00FE16AE">
        <w:rPr>
          <w:rFonts w:ascii="Arial" w:eastAsiaTheme="minorHAnsi" w:hAnsi="Arial" w:cs="Arial"/>
          <w:sz w:val="22"/>
          <w:szCs w:val="22"/>
          <w:lang w:eastAsia="en-US"/>
        </w:rPr>
        <w:t>osoby czasowo przebywające na terenie aglomeracji - pod tym pojęciem  rozumie się liczbę zarejestrowanych miejsc noclegowych w obiektach usług turystycznych, szpitalach, internatach, więzieniach itp.,</w:t>
      </w:r>
    </w:p>
    <w:p w:rsidR="00140CFB" w:rsidRPr="00FE16AE" w:rsidRDefault="00140CFB" w:rsidP="00140CFB">
      <w:pPr>
        <w:pStyle w:val="Tekstprzypisudolnego"/>
        <w:numPr>
          <w:ilvl w:val="1"/>
          <w:numId w:val="3"/>
        </w:numPr>
        <w:spacing w:after="120" w:line="22" w:lineRule="atLeast"/>
        <w:ind w:left="1276" w:hanging="283"/>
        <w:rPr>
          <w:rFonts w:ascii="Arial" w:eastAsiaTheme="minorHAnsi" w:hAnsi="Arial" w:cs="Arial"/>
          <w:sz w:val="22"/>
          <w:szCs w:val="22"/>
          <w:lang w:eastAsia="en-US"/>
        </w:rPr>
      </w:pPr>
      <w:r w:rsidRPr="00FE16AE">
        <w:rPr>
          <w:rFonts w:ascii="Arial" w:eastAsiaTheme="minorHAnsi" w:hAnsi="Arial" w:cs="Arial"/>
          <w:sz w:val="22"/>
          <w:szCs w:val="22"/>
          <w:lang w:eastAsia="en-US"/>
        </w:rPr>
        <w:t>ilość ścieków przemysłowych, w przeliczeniu na wielkość ładunku ścieków wyrażoną w RLM, odprowadzanych do systemów kanalizacji zbiorczej zgodnie z</w:t>
      </w:r>
      <w:r>
        <w:rPr>
          <w:rFonts w:ascii="Arial" w:eastAsiaTheme="minorHAnsi" w:hAnsi="Arial" w:cs="Arial"/>
          <w:sz w:val="22"/>
          <w:szCs w:val="22"/>
          <w:lang w:eastAsia="en-US"/>
        </w:rPr>
        <w:t> </w:t>
      </w:r>
      <w:r w:rsidRPr="00FE16AE">
        <w:rPr>
          <w:rFonts w:ascii="Arial" w:eastAsiaTheme="minorHAnsi" w:hAnsi="Arial" w:cs="Arial"/>
          <w:sz w:val="22"/>
          <w:szCs w:val="22"/>
          <w:lang w:eastAsia="en-US"/>
        </w:rPr>
        <w:t>wymaganiami ustawy z dnia 7 czerwca 2001 r. o zbiorowym zaopatrzeniu w wodę i zbiorowym odprowadzaniu ścieków. Ładunek zanieczyszczeń należy przeliczać zgodnie z definicją RLM</w:t>
      </w:r>
      <w:r w:rsidRPr="00FE16AE">
        <w:rPr>
          <w:rStyle w:val="Odwoanieprzypisudolnego"/>
          <w:rFonts w:ascii="Arial" w:eastAsiaTheme="minorHAnsi" w:hAnsi="Arial" w:cs="Arial"/>
          <w:sz w:val="22"/>
          <w:szCs w:val="22"/>
          <w:lang w:eastAsia="en-US"/>
        </w:rPr>
        <w:footnoteReference w:id="1"/>
      </w:r>
      <w:r w:rsidRPr="00FE16AE">
        <w:rPr>
          <w:rFonts w:ascii="Arial" w:eastAsiaTheme="minorHAnsi" w:hAnsi="Arial" w:cs="Arial"/>
          <w:sz w:val="22"/>
          <w:szCs w:val="22"/>
          <w:lang w:eastAsia="en-US"/>
        </w:rPr>
        <w:t>.</w:t>
      </w:r>
    </w:p>
    <w:p w:rsidR="00140CFB" w:rsidRPr="00FE16AE" w:rsidRDefault="00140CFB" w:rsidP="00140CFB">
      <w:pPr>
        <w:pStyle w:val="Tekstprzypisudolnego"/>
        <w:spacing w:after="120" w:line="22" w:lineRule="atLeast"/>
        <w:ind w:left="284" w:firstLine="0"/>
        <w:rPr>
          <w:rFonts w:ascii="Arial" w:eastAsiaTheme="minorHAnsi" w:hAnsi="Arial" w:cs="Arial"/>
          <w:sz w:val="22"/>
          <w:lang w:eastAsia="en-US"/>
        </w:rPr>
      </w:pPr>
      <w:r w:rsidRPr="00FE16AE">
        <w:rPr>
          <w:rFonts w:ascii="Arial" w:eastAsiaTheme="minorHAnsi" w:hAnsi="Arial" w:cs="Arial"/>
          <w:b/>
          <w:sz w:val="22"/>
          <w:lang w:eastAsia="en-US"/>
        </w:rPr>
        <w:lastRenderedPageBreak/>
        <w:t>Mk plan</w:t>
      </w:r>
      <w:r w:rsidRPr="00FE16AE">
        <w:rPr>
          <w:rFonts w:ascii="Arial" w:eastAsiaTheme="minorHAnsi" w:hAnsi="Arial" w:cs="Arial"/>
          <w:sz w:val="22"/>
          <w:lang w:eastAsia="en-US"/>
        </w:rPr>
        <w:t xml:space="preserve"> - planowana liczba mieszkańców, które będą korzystały z planowanej do budowy w ramach projektu sieci kanalizacyjnej </w:t>
      </w:r>
    </w:p>
    <w:p w:rsidR="00140CFB" w:rsidRPr="00FE16AE" w:rsidRDefault="00140CFB" w:rsidP="00140CFB">
      <w:pPr>
        <w:pStyle w:val="Tekstprzypisudolnego"/>
        <w:spacing w:after="120" w:line="22" w:lineRule="atLeast"/>
        <w:ind w:left="1843" w:hanging="850"/>
        <w:rPr>
          <w:rFonts w:ascii="Arial" w:eastAsiaTheme="minorHAnsi" w:hAnsi="Arial" w:cs="Arial"/>
          <w:sz w:val="22"/>
          <w:lang w:eastAsia="en-US"/>
        </w:rPr>
      </w:pPr>
      <w:r w:rsidRPr="00FE16AE">
        <w:rPr>
          <w:rFonts w:ascii="Arial" w:eastAsiaTheme="minorHAnsi" w:hAnsi="Arial" w:cs="Arial"/>
          <w:sz w:val="22"/>
          <w:lang w:eastAsia="en-US"/>
        </w:rPr>
        <w:t>W liczbie tej należy uwzględnić:</w:t>
      </w:r>
    </w:p>
    <w:p w:rsidR="00140CFB" w:rsidRPr="00FE16AE" w:rsidRDefault="00140CFB" w:rsidP="00140CFB">
      <w:pPr>
        <w:pStyle w:val="Tekstprzypisudolnego"/>
        <w:numPr>
          <w:ilvl w:val="1"/>
          <w:numId w:val="4"/>
        </w:numPr>
        <w:spacing w:after="120" w:line="22" w:lineRule="atLeast"/>
        <w:ind w:left="1276" w:hanging="283"/>
        <w:rPr>
          <w:rFonts w:ascii="Arial" w:eastAsiaTheme="minorHAnsi" w:hAnsi="Arial" w:cs="Arial"/>
          <w:sz w:val="22"/>
          <w:lang w:eastAsia="en-US"/>
        </w:rPr>
      </w:pPr>
      <w:r w:rsidRPr="00FE16AE">
        <w:rPr>
          <w:rFonts w:ascii="Arial" w:eastAsiaTheme="minorHAnsi" w:hAnsi="Arial" w:cs="Arial"/>
          <w:sz w:val="22"/>
          <w:lang w:eastAsia="en-US"/>
        </w:rPr>
        <w:t xml:space="preserve">stałych mieszkańców,  </w:t>
      </w:r>
    </w:p>
    <w:p w:rsidR="00140CFB" w:rsidRPr="00FE16AE" w:rsidRDefault="00140CFB" w:rsidP="00140CFB">
      <w:pPr>
        <w:pStyle w:val="Tekstprzypisudolnego"/>
        <w:numPr>
          <w:ilvl w:val="1"/>
          <w:numId w:val="4"/>
        </w:numPr>
        <w:spacing w:after="120" w:line="22" w:lineRule="atLeast"/>
        <w:ind w:left="1276" w:hanging="283"/>
        <w:rPr>
          <w:rFonts w:ascii="Arial" w:eastAsiaTheme="minorHAnsi" w:hAnsi="Arial" w:cs="Arial"/>
          <w:sz w:val="22"/>
          <w:lang w:eastAsia="en-US"/>
        </w:rPr>
      </w:pPr>
      <w:r w:rsidRPr="00FE16AE">
        <w:rPr>
          <w:rFonts w:ascii="Arial" w:eastAsiaTheme="minorHAnsi" w:hAnsi="Arial" w:cs="Arial"/>
          <w:sz w:val="22"/>
          <w:lang w:eastAsia="en-US"/>
        </w:rPr>
        <w:t>osoby czasowo przebywające na terenie aglomeracji – pod tym pojęciem rozumie się liczbę zarejestrowanych miejsc noclegowych w obiektach usług turystycznych, szpitalach, internatach, więzieniach itp.</w:t>
      </w:r>
    </w:p>
    <w:p w:rsidR="00140CFB" w:rsidRPr="00FE16AE" w:rsidRDefault="00140CFB" w:rsidP="00140CFB">
      <w:pPr>
        <w:pStyle w:val="Tekstprzypisudolnego"/>
        <w:spacing w:after="120" w:line="22" w:lineRule="atLeast"/>
        <w:ind w:left="284" w:firstLine="0"/>
        <w:rPr>
          <w:rFonts w:ascii="Arial" w:eastAsiaTheme="minorHAnsi" w:hAnsi="Arial" w:cs="Arial"/>
          <w:sz w:val="22"/>
          <w:lang w:eastAsia="en-US"/>
        </w:rPr>
      </w:pPr>
      <w:r w:rsidRPr="00FE16AE">
        <w:rPr>
          <w:rFonts w:ascii="Arial" w:eastAsiaTheme="minorHAnsi" w:hAnsi="Arial" w:cs="Arial"/>
          <w:b/>
          <w:sz w:val="22"/>
          <w:lang w:eastAsia="en-US"/>
        </w:rPr>
        <w:t>L ist</w:t>
      </w:r>
      <w:r w:rsidRPr="00FE16AE">
        <w:rPr>
          <w:rFonts w:ascii="Arial" w:eastAsiaTheme="minorHAnsi" w:hAnsi="Arial" w:cs="Arial"/>
          <w:sz w:val="22"/>
          <w:lang w:eastAsia="en-US"/>
        </w:rPr>
        <w:t xml:space="preserve"> - długość istniejącej sieci kanalizacyjnej </w:t>
      </w:r>
      <w:r>
        <w:rPr>
          <w:rFonts w:ascii="Arial" w:eastAsiaTheme="minorHAnsi" w:hAnsi="Arial" w:cs="Arial"/>
          <w:sz w:val="22"/>
          <w:lang w:eastAsia="en-US"/>
        </w:rPr>
        <w:t xml:space="preserve">w ramach aglomeracji, </w:t>
      </w:r>
      <w:r w:rsidRPr="00FE16AE">
        <w:rPr>
          <w:rFonts w:ascii="Arial" w:eastAsiaTheme="minorHAnsi" w:hAnsi="Arial" w:cs="Arial"/>
          <w:sz w:val="22"/>
          <w:lang w:eastAsia="en-US"/>
        </w:rPr>
        <w:t xml:space="preserve">wyrażona </w:t>
      </w:r>
      <w:r>
        <w:rPr>
          <w:rFonts w:ascii="Arial" w:eastAsiaTheme="minorHAnsi" w:hAnsi="Arial" w:cs="Arial"/>
          <w:sz w:val="22"/>
          <w:lang w:eastAsia="en-US"/>
        </w:rPr>
        <w:br/>
      </w:r>
      <w:r w:rsidRPr="00FE16AE">
        <w:rPr>
          <w:rFonts w:ascii="Arial" w:eastAsiaTheme="minorHAnsi" w:hAnsi="Arial" w:cs="Arial"/>
          <w:sz w:val="22"/>
          <w:lang w:eastAsia="en-US"/>
        </w:rPr>
        <w:t>w kilometrach.</w:t>
      </w:r>
    </w:p>
    <w:p w:rsidR="00140CFB" w:rsidRPr="00FE16AE" w:rsidRDefault="00140CFB" w:rsidP="00140CFB">
      <w:pPr>
        <w:pStyle w:val="Tekstprzypisudolnego"/>
        <w:spacing w:after="120" w:line="22" w:lineRule="atLeast"/>
        <w:ind w:left="284" w:firstLine="0"/>
        <w:rPr>
          <w:rFonts w:ascii="Arial" w:eastAsiaTheme="minorHAnsi" w:hAnsi="Arial" w:cs="Arial"/>
          <w:sz w:val="22"/>
          <w:lang w:eastAsia="en-US"/>
        </w:rPr>
      </w:pPr>
      <w:r w:rsidRPr="00FE16AE">
        <w:rPr>
          <w:rFonts w:ascii="Arial" w:eastAsiaTheme="minorHAnsi" w:hAnsi="Arial" w:cs="Arial"/>
          <w:sz w:val="22"/>
          <w:lang w:eastAsia="en-US"/>
        </w:rPr>
        <w:t xml:space="preserve">Pod pojęciem sieci kanalizacyjnej należy rozumieć kanalizację sanitarną grawitacyjną, tłoczną, ciśnieniową, a także kanalizację ogólnospławną. </w:t>
      </w:r>
    </w:p>
    <w:p w:rsidR="00140CFB" w:rsidRPr="00FE16AE" w:rsidRDefault="00140CFB" w:rsidP="00140CFB">
      <w:pPr>
        <w:pStyle w:val="Tekstprzypisudolnego"/>
        <w:spacing w:after="120" w:line="22" w:lineRule="atLeast"/>
        <w:ind w:left="284" w:firstLine="0"/>
        <w:rPr>
          <w:rFonts w:ascii="Arial" w:eastAsiaTheme="minorHAnsi" w:hAnsi="Arial" w:cs="Arial"/>
          <w:sz w:val="22"/>
          <w:lang w:eastAsia="en-US"/>
        </w:rPr>
      </w:pPr>
      <w:r w:rsidRPr="00FE16AE">
        <w:rPr>
          <w:rFonts w:ascii="Arial" w:eastAsiaTheme="minorHAnsi" w:hAnsi="Arial" w:cs="Arial"/>
          <w:b/>
          <w:sz w:val="22"/>
          <w:lang w:eastAsia="en-US"/>
        </w:rPr>
        <w:t>L plan</w:t>
      </w:r>
      <w:r w:rsidRPr="00FE16AE">
        <w:rPr>
          <w:rFonts w:ascii="Arial" w:eastAsiaTheme="minorHAnsi" w:hAnsi="Arial" w:cs="Arial"/>
          <w:sz w:val="22"/>
          <w:lang w:eastAsia="en-US"/>
        </w:rPr>
        <w:t xml:space="preserve"> - długość planowanej do budowy w ramach projektu sieci kanalizacyjnej wyrażona </w:t>
      </w:r>
      <w:r w:rsidRPr="00FE16AE">
        <w:rPr>
          <w:rFonts w:ascii="Arial" w:eastAsiaTheme="minorHAnsi" w:hAnsi="Arial" w:cs="Arial"/>
          <w:sz w:val="22"/>
          <w:lang w:eastAsia="en-US"/>
        </w:rPr>
        <w:br/>
        <w:t>w kilometrach.</w:t>
      </w:r>
    </w:p>
    <w:p w:rsidR="00140CFB" w:rsidRPr="00140CFB" w:rsidRDefault="00140CFB" w:rsidP="00140CFB">
      <w:pPr>
        <w:pStyle w:val="Tekstprzypisudolnego"/>
        <w:spacing w:after="120" w:line="22" w:lineRule="atLeast"/>
        <w:ind w:left="284" w:firstLine="0"/>
        <w:rPr>
          <w:rFonts w:ascii="Arial" w:eastAsiaTheme="minorHAnsi" w:hAnsi="Arial" w:cs="Arial"/>
          <w:sz w:val="22"/>
          <w:lang w:eastAsia="en-US"/>
        </w:rPr>
      </w:pPr>
      <w:r w:rsidRPr="00FE16AE">
        <w:rPr>
          <w:rFonts w:ascii="Arial" w:eastAsiaTheme="minorHAnsi" w:hAnsi="Arial" w:cs="Arial"/>
          <w:sz w:val="22"/>
          <w:lang w:eastAsia="en-US"/>
        </w:rPr>
        <w:t>Pod pojęciem sieci kanalizacyjnej należy rozumieć kanalizację sanitarną grawitacyjną, tłoczną,</w:t>
      </w:r>
      <w:r>
        <w:rPr>
          <w:rFonts w:ascii="Arial" w:eastAsiaTheme="minorHAnsi" w:hAnsi="Arial" w:cs="Arial"/>
          <w:sz w:val="22"/>
          <w:lang w:eastAsia="en-US"/>
        </w:rPr>
        <w:t xml:space="preserve"> </w:t>
      </w:r>
      <w:r w:rsidRPr="00FE16AE">
        <w:rPr>
          <w:rFonts w:ascii="Arial" w:eastAsiaTheme="minorHAnsi" w:hAnsi="Arial" w:cs="Arial"/>
          <w:sz w:val="22"/>
          <w:lang w:eastAsia="en-US"/>
        </w:rPr>
        <w:t xml:space="preserve">ciśnieniową, a także kanalizację ogólnospławną. </w:t>
      </w:r>
    </w:p>
    <w:p w:rsidR="00140CFB" w:rsidRPr="00FE16AE" w:rsidRDefault="00140CFB" w:rsidP="00140CFB">
      <w:pPr>
        <w:spacing w:after="120" w:line="22" w:lineRule="atLeast"/>
        <w:jc w:val="both"/>
        <w:rPr>
          <w:rFonts w:ascii="Arial" w:hAnsi="Arial" w:cs="Arial"/>
          <w:b/>
          <w:szCs w:val="20"/>
        </w:rPr>
      </w:pPr>
    </w:p>
    <w:p w:rsidR="00140CFB" w:rsidRPr="00FE16AE" w:rsidRDefault="00140CFB" w:rsidP="00140CFB">
      <w:pPr>
        <w:spacing w:after="120" w:line="22" w:lineRule="atLeast"/>
        <w:jc w:val="both"/>
        <w:rPr>
          <w:rFonts w:ascii="Arial" w:hAnsi="Arial" w:cs="Arial"/>
          <w:b/>
          <w:szCs w:val="20"/>
        </w:rPr>
      </w:pPr>
      <w:r w:rsidRPr="00FE16AE">
        <w:rPr>
          <w:rFonts w:ascii="Arial" w:hAnsi="Arial" w:cs="Arial"/>
          <w:b/>
          <w:szCs w:val="20"/>
        </w:rPr>
        <w:t>UWAGA</w:t>
      </w:r>
    </w:p>
    <w:p w:rsidR="00140CFB" w:rsidRPr="00FE16AE" w:rsidRDefault="00140CFB" w:rsidP="00140CFB">
      <w:pPr>
        <w:pStyle w:val="Akapitzlist"/>
        <w:numPr>
          <w:ilvl w:val="0"/>
          <w:numId w:val="5"/>
        </w:numPr>
        <w:spacing w:after="120" w:line="22" w:lineRule="atLeast"/>
        <w:ind w:left="284" w:hanging="284"/>
        <w:jc w:val="both"/>
        <w:rPr>
          <w:rFonts w:ascii="Arial" w:hAnsi="Arial" w:cs="Arial"/>
          <w:szCs w:val="20"/>
        </w:rPr>
      </w:pPr>
      <w:r w:rsidRPr="00FE16AE">
        <w:rPr>
          <w:rFonts w:ascii="Arial" w:hAnsi="Arial" w:cs="Arial"/>
          <w:szCs w:val="20"/>
        </w:rPr>
        <w:t>W sytuacji, gdy projekt realizowany jest na terenie aglomeracji, na której występują obszary wyznaczone na podstawie § 3 ust. 5 rozporządzenia Ministra Środowiska w sprawie sposobu wyznaczania obszaru i granic aglomeracji i:</w:t>
      </w:r>
    </w:p>
    <w:p w:rsidR="00140CFB" w:rsidRPr="00FE16AE" w:rsidRDefault="00140CFB" w:rsidP="00140CFB">
      <w:pPr>
        <w:pStyle w:val="Akapitzlist"/>
        <w:numPr>
          <w:ilvl w:val="0"/>
          <w:numId w:val="1"/>
        </w:numPr>
        <w:spacing w:after="120" w:line="22" w:lineRule="atLeast"/>
        <w:ind w:left="567" w:hanging="284"/>
        <w:jc w:val="both"/>
        <w:rPr>
          <w:rFonts w:ascii="Arial" w:hAnsi="Arial" w:cs="Arial"/>
          <w:szCs w:val="20"/>
        </w:rPr>
      </w:pPr>
      <w:r w:rsidRPr="00FE16AE">
        <w:rPr>
          <w:rFonts w:ascii="Arial" w:hAnsi="Arial" w:cs="Arial"/>
          <w:szCs w:val="20"/>
        </w:rPr>
        <w:t>zakres sieci realizowanej w ramach projektu jest w całości położny na tych obszarach - dopuszczalne jest wyliczenie wskaźnika tylko dla tego obszaru (ze wskaźnikiem W90),</w:t>
      </w:r>
    </w:p>
    <w:p w:rsidR="00140CFB" w:rsidRPr="00FE16AE" w:rsidRDefault="00140CFB" w:rsidP="00140CFB">
      <w:pPr>
        <w:pStyle w:val="Akapitzlist"/>
        <w:numPr>
          <w:ilvl w:val="0"/>
          <w:numId w:val="1"/>
        </w:numPr>
        <w:spacing w:after="120" w:line="22" w:lineRule="atLeast"/>
        <w:ind w:left="567" w:hanging="284"/>
        <w:jc w:val="both"/>
        <w:rPr>
          <w:rFonts w:ascii="Arial" w:hAnsi="Arial" w:cs="Arial"/>
          <w:szCs w:val="20"/>
        </w:rPr>
      </w:pPr>
      <w:r w:rsidRPr="00FE16AE">
        <w:rPr>
          <w:rFonts w:ascii="Arial" w:hAnsi="Arial" w:cs="Arial"/>
          <w:szCs w:val="20"/>
        </w:rPr>
        <w:t>zakres sieci realizowanej w ramach projektu jest w całości położony poza tymi obszarami - dopuszczalne jest wyliczenie wskaźnika tylko dla obszaru ze wskaźnikiem W120.</w:t>
      </w:r>
    </w:p>
    <w:p w:rsidR="00140CFB" w:rsidRPr="00FE16AE" w:rsidRDefault="00140CFB" w:rsidP="00140CFB">
      <w:pPr>
        <w:pStyle w:val="Akapitzlist"/>
        <w:spacing w:after="120" w:line="22" w:lineRule="atLeast"/>
        <w:ind w:left="284" w:hanging="284"/>
        <w:jc w:val="both"/>
        <w:rPr>
          <w:rFonts w:ascii="Arial" w:hAnsi="Arial" w:cs="Arial"/>
          <w:szCs w:val="20"/>
        </w:rPr>
      </w:pPr>
    </w:p>
    <w:p w:rsidR="00140CFB" w:rsidRPr="00FE16AE" w:rsidRDefault="00140CFB" w:rsidP="00140CFB">
      <w:pPr>
        <w:pStyle w:val="Akapitzlist"/>
        <w:numPr>
          <w:ilvl w:val="0"/>
          <w:numId w:val="5"/>
        </w:numPr>
        <w:spacing w:after="120" w:line="22" w:lineRule="atLeast"/>
        <w:ind w:left="284" w:hanging="284"/>
        <w:jc w:val="both"/>
        <w:rPr>
          <w:rFonts w:ascii="Arial" w:hAnsi="Arial" w:cs="Arial"/>
          <w:szCs w:val="20"/>
        </w:rPr>
      </w:pPr>
      <w:r w:rsidRPr="00FE16AE">
        <w:rPr>
          <w:rFonts w:ascii="Arial" w:hAnsi="Arial" w:cs="Arial"/>
          <w:szCs w:val="20"/>
        </w:rPr>
        <w:t>Dopuszczalne jest wyliczenie wartości wskaźnika koncentracji aglomeracji dla całego obszaru aglomeracji (tj. bez odrębnego szacowania wartości wskaźnika dla obszarów wyznaczonych na podstawie § 3 ust. 5 rozporządzenia  Ministra Środowiska w sprawie sposobu wyznaczania obszaru i granic aglomeracji), gdy przyjmuje on wartość nie mniejszą niż 120 Mk/km. Wówczas:</w:t>
      </w:r>
    </w:p>
    <w:p w:rsidR="00140CFB" w:rsidRPr="00FE16AE" w:rsidRDefault="00140CFB" w:rsidP="00140CFB">
      <w:pPr>
        <w:pStyle w:val="Akapitzlist"/>
        <w:spacing w:after="120" w:line="22" w:lineRule="atLeast"/>
        <w:ind w:left="284"/>
        <w:jc w:val="both"/>
        <w:rPr>
          <w:rFonts w:ascii="Arial" w:hAnsi="Arial" w:cs="Arial"/>
          <w:szCs w:val="20"/>
        </w:rPr>
      </w:pPr>
    </w:p>
    <w:p w:rsidR="00140CFB" w:rsidRPr="00FE16AE" w:rsidRDefault="00140CFB" w:rsidP="00140CFB">
      <w:pPr>
        <w:spacing w:after="120" w:line="22" w:lineRule="atLeast"/>
        <w:ind w:left="284" w:hanging="284"/>
        <w:jc w:val="both"/>
        <w:rPr>
          <w:rFonts w:ascii="Arial" w:hAnsi="Arial" w:cs="Arial"/>
          <w:szCs w:val="20"/>
        </w:rPr>
      </w:pPr>
      <m:oMathPara>
        <m:oMath>
          <m:r>
            <m:rPr>
              <m:sty m:val="p"/>
            </m:rPr>
            <w:rPr>
              <w:rFonts w:ascii="Cambria Math" w:hAnsi="Arial" w:cs="Arial"/>
              <w:szCs w:val="20"/>
            </w:rPr>
            <m:t xml:space="preserve">W </m:t>
          </m:r>
          <m:d>
            <m:dPr>
              <m:begChr m:val="["/>
              <m:endChr m:val="]"/>
              <m:ctrlPr>
                <w:rPr>
                  <w:rFonts w:ascii="Cambria Math" w:hAnsi="Arial" w:cs="Arial"/>
                  <w:szCs w:val="20"/>
                </w:rPr>
              </m:ctrlPr>
            </m:dPr>
            <m:e>
              <m:f>
                <m:fPr>
                  <m:ctrlPr>
                    <w:rPr>
                      <w:rFonts w:ascii="Cambria Math" w:hAnsi="Arial" w:cs="Arial"/>
                      <w:szCs w:val="20"/>
                    </w:rPr>
                  </m:ctrlPr>
                </m:fPr>
                <m:num>
                  <m:r>
                    <m:rPr>
                      <m:sty m:val="p"/>
                    </m:rPr>
                    <w:rPr>
                      <w:rFonts w:ascii="Cambria Math" w:hAnsi="Arial" w:cs="Arial"/>
                      <w:szCs w:val="20"/>
                    </w:rPr>
                    <m:t>Mk</m:t>
                  </m:r>
                </m:num>
                <m:den>
                  <m:r>
                    <m:rPr>
                      <m:sty m:val="p"/>
                    </m:rPr>
                    <w:rPr>
                      <w:rFonts w:ascii="Cambria Math" w:hAnsi="Arial" w:cs="Arial"/>
                      <w:szCs w:val="20"/>
                    </w:rPr>
                    <m:t>km</m:t>
                  </m:r>
                </m:den>
              </m:f>
            </m:e>
          </m:d>
          <m:r>
            <w:rPr>
              <w:rFonts w:ascii="Cambria Math" w:hAnsi="Arial" w:cs="Arial"/>
              <w:szCs w:val="20"/>
            </w:rPr>
            <m:t xml:space="preserve">= </m:t>
          </m:r>
          <m:f>
            <m:fPr>
              <m:ctrlPr>
                <w:rPr>
                  <w:rFonts w:ascii="Cambria Math" w:hAnsi="Arial" w:cs="Arial"/>
                  <w:i/>
                  <w:szCs w:val="20"/>
                </w:rPr>
              </m:ctrlPr>
            </m:fPr>
            <m:num>
              <m:r>
                <m:rPr>
                  <m:sty m:val="p"/>
                </m:rPr>
                <w:rPr>
                  <w:rFonts w:ascii="Cambria Math" w:hAnsi="Arial" w:cs="Arial"/>
                  <w:szCs w:val="20"/>
                </w:rPr>
                <m:t xml:space="preserve">Mk ist+Mk plan  </m:t>
              </m:r>
            </m:num>
            <m:den>
              <m:r>
                <m:rPr>
                  <m:sty m:val="p"/>
                </m:rPr>
                <w:rPr>
                  <w:rFonts w:ascii="Cambria Math" w:hAnsi="Arial" w:cs="Arial"/>
                  <w:szCs w:val="20"/>
                </w:rPr>
                <m:t xml:space="preserve">L ist+L plan </m:t>
              </m:r>
            </m:den>
          </m:f>
        </m:oMath>
      </m:oMathPara>
    </w:p>
    <w:p w:rsidR="00140CFB" w:rsidRPr="00FE16AE" w:rsidRDefault="00140CFB" w:rsidP="00140CFB">
      <w:pPr>
        <w:spacing w:after="120" w:line="22" w:lineRule="atLeast"/>
        <w:contextualSpacing/>
        <w:rPr>
          <w:rFonts w:ascii="Arial" w:hAnsi="Arial" w:cs="Arial"/>
          <w:b/>
          <w:szCs w:val="20"/>
        </w:rPr>
      </w:pPr>
    </w:p>
    <w:p w:rsidR="00140CFB" w:rsidRPr="00FE16AE" w:rsidRDefault="00140CFB" w:rsidP="00140CFB">
      <w:pPr>
        <w:spacing w:after="120" w:line="22" w:lineRule="atLeast"/>
        <w:contextualSpacing/>
        <w:rPr>
          <w:rFonts w:ascii="Arial" w:hAnsi="Arial" w:cs="Arial"/>
          <w:b/>
          <w:szCs w:val="20"/>
        </w:rPr>
      </w:pPr>
      <w:r w:rsidRPr="00FE16AE">
        <w:rPr>
          <w:rFonts w:ascii="Arial" w:hAnsi="Arial" w:cs="Arial"/>
          <w:b/>
          <w:szCs w:val="20"/>
        </w:rPr>
        <w:t>Przykłady:</w:t>
      </w:r>
    </w:p>
    <w:p w:rsidR="00140CFB" w:rsidRPr="00FE16AE" w:rsidRDefault="00140CFB" w:rsidP="00140CFB">
      <w:pPr>
        <w:spacing w:after="120" w:line="22" w:lineRule="atLeast"/>
        <w:contextualSpacing/>
        <w:rPr>
          <w:rFonts w:ascii="Arial" w:hAnsi="Arial" w:cs="Arial"/>
          <w:szCs w:val="20"/>
        </w:rPr>
      </w:pPr>
    </w:p>
    <w:p w:rsidR="00140CFB" w:rsidRPr="00FE16AE" w:rsidRDefault="00140CFB" w:rsidP="00140CFB">
      <w:pPr>
        <w:spacing w:after="120" w:line="22" w:lineRule="atLeast"/>
        <w:contextualSpacing/>
        <w:rPr>
          <w:rFonts w:ascii="Arial" w:hAnsi="Arial" w:cs="Arial"/>
          <w:szCs w:val="20"/>
        </w:rPr>
      </w:pPr>
      <w:r w:rsidRPr="00FE16AE">
        <w:rPr>
          <w:rFonts w:ascii="Arial" w:hAnsi="Arial" w:cs="Arial"/>
          <w:szCs w:val="20"/>
        </w:rPr>
        <w:t>Należy zwrócić uwagę na następujące szczególne przypadki:</w:t>
      </w:r>
    </w:p>
    <w:p w:rsidR="00140CFB" w:rsidRPr="00FE16AE" w:rsidRDefault="00140CFB" w:rsidP="00140CFB">
      <w:pPr>
        <w:spacing w:after="120" w:line="22" w:lineRule="atLeast"/>
        <w:contextualSpacing/>
        <w:jc w:val="both"/>
        <w:rPr>
          <w:rFonts w:ascii="Arial" w:hAnsi="Arial" w:cs="Arial"/>
          <w:b/>
          <w:szCs w:val="20"/>
          <w:u w:val="single"/>
        </w:rPr>
      </w:pPr>
    </w:p>
    <w:p w:rsidR="00140CFB" w:rsidRPr="00FE16AE" w:rsidRDefault="00140CFB" w:rsidP="00140CFB">
      <w:pPr>
        <w:spacing w:after="120" w:line="22" w:lineRule="atLeast"/>
        <w:contextualSpacing/>
        <w:jc w:val="both"/>
        <w:rPr>
          <w:rFonts w:ascii="Arial" w:hAnsi="Arial" w:cs="Arial"/>
          <w:szCs w:val="20"/>
          <w:u w:val="single"/>
        </w:rPr>
      </w:pPr>
      <w:r w:rsidRPr="00FE16AE">
        <w:rPr>
          <w:rFonts w:ascii="Arial" w:hAnsi="Arial" w:cs="Arial"/>
          <w:szCs w:val="20"/>
          <w:u w:val="single"/>
        </w:rPr>
        <w:t>Sytuacja 1</w:t>
      </w:r>
    </w:p>
    <w:p w:rsidR="00140CFB" w:rsidRPr="00FE16AE" w:rsidRDefault="00140CFB" w:rsidP="00140CFB">
      <w:pPr>
        <w:spacing w:after="120" w:line="22" w:lineRule="atLeast"/>
        <w:contextualSpacing/>
        <w:jc w:val="both"/>
        <w:rPr>
          <w:rFonts w:ascii="Arial" w:hAnsi="Arial" w:cs="Arial"/>
          <w:szCs w:val="20"/>
        </w:rPr>
      </w:pPr>
      <w:r w:rsidRPr="00FE16AE">
        <w:rPr>
          <w:rFonts w:ascii="Arial" w:hAnsi="Arial" w:cs="Arial"/>
          <w:szCs w:val="20"/>
        </w:rPr>
        <w:t>W czasie przygotowywania wniosku o dofinasowanie na terenie aglomeracji realizowane jest inne przedsięwzięcie,</w:t>
      </w:r>
      <w:r>
        <w:rPr>
          <w:rFonts w:ascii="Arial" w:hAnsi="Arial" w:cs="Arial"/>
          <w:szCs w:val="20"/>
        </w:rPr>
        <w:t xml:space="preserve"> </w:t>
      </w:r>
      <w:r w:rsidRPr="00FE16AE">
        <w:rPr>
          <w:rFonts w:ascii="Arial" w:hAnsi="Arial" w:cs="Arial"/>
          <w:szCs w:val="20"/>
        </w:rPr>
        <w:t>nie będące przedmiotem wniosku, polegające na budowie sieci kanalizacyjnej (sanitarnej lub ogólnospławnej) długość budowanej sieci i planowaną liczbę osób do podłączenia do tej sieci należy uwzględnić odpowiednio jako L ist i Mk ist.</w:t>
      </w:r>
    </w:p>
    <w:p w:rsidR="00140CFB" w:rsidRDefault="00140CFB" w:rsidP="00140CFB">
      <w:pPr>
        <w:spacing w:after="120" w:line="22" w:lineRule="atLeast"/>
        <w:contextualSpacing/>
        <w:jc w:val="both"/>
        <w:rPr>
          <w:rFonts w:ascii="Arial" w:hAnsi="Arial" w:cs="Arial"/>
          <w:b/>
          <w:szCs w:val="20"/>
          <w:u w:val="single"/>
        </w:rPr>
      </w:pPr>
    </w:p>
    <w:p w:rsidR="00271074" w:rsidRDefault="00271074" w:rsidP="00140CFB">
      <w:pPr>
        <w:spacing w:after="120" w:line="22" w:lineRule="atLeast"/>
        <w:contextualSpacing/>
        <w:jc w:val="both"/>
        <w:rPr>
          <w:rFonts w:ascii="Arial" w:hAnsi="Arial" w:cs="Arial"/>
          <w:b/>
          <w:szCs w:val="20"/>
          <w:u w:val="single"/>
        </w:rPr>
      </w:pPr>
    </w:p>
    <w:p w:rsidR="00271074" w:rsidRPr="00FE16AE" w:rsidRDefault="00271074" w:rsidP="00140CFB">
      <w:pPr>
        <w:spacing w:after="120" w:line="22" w:lineRule="atLeast"/>
        <w:contextualSpacing/>
        <w:jc w:val="both"/>
        <w:rPr>
          <w:rFonts w:ascii="Arial" w:hAnsi="Arial" w:cs="Arial"/>
          <w:b/>
          <w:szCs w:val="20"/>
          <w:u w:val="single"/>
        </w:rPr>
      </w:pPr>
    </w:p>
    <w:p w:rsidR="00140CFB" w:rsidRPr="00FE16AE" w:rsidRDefault="00140CFB" w:rsidP="00140CFB">
      <w:pPr>
        <w:spacing w:after="120" w:line="22" w:lineRule="atLeast"/>
        <w:contextualSpacing/>
        <w:jc w:val="both"/>
        <w:rPr>
          <w:rFonts w:ascii="Arial" w:hAnsi="Arial" w:cs="Arial"/>
          <w:szCs w:val="20"/>
        </w:rPr>
      </w:pPr>
      <w:r w:rsidRPr="00FE16AE">
        <w:rPr>
          <w:rFonts w:ascii="Arial" w:hAnsi="Arial" w:cs="Arial"/>
          <w:szCs w:val="20"/>
          <w:u w:val="single"/>
        </w:rPr>
        <w:lastRenderedPageBreak/>
        <w:t>Sytuacja 2</w:t>
      </w:r>
    </w:p>
    <w:p w:rsidR="00140CFB" w:rsidRPr="00FE16AE" w:rsidRDefault="00140CFB" w:rsidP="00140CFB">
      <w:pPr>
        <w:spacing w:after="120" w:line="22" w:lineRule="atLeast"/>
        <w:contextualSpacing/>
        <w:jc w:val="both"/>
        <w:rPr>
          <w:rFonts w:ascii="Arial" w:hAnsi="Arial" w:cs="Arial"/>
          <w:szCs w:val="20"/>
        </w:rPr>
      </w:pPr>
      <w:r w:rsidRPr="00FE16AE">
        <w:rPr>
          <w:rFonts w:ascii="Arial" w:hAnsi="Arial" w:cs="Arial"/>
          <w:szCs w:val="20"/>
        </w:rPr>
        <w:t>W wyniku realizacji projektu istniejąca sieć ogólnospławna ma zostać rozdzielona. Niezależnie od tego, czy w wyniku rozdziału istniejący kanał przejmie rolę kanału sanitarnego, czy też służył będzie odprowadzaniu wód opadowych (ponieważ zostanie wybudowany nowy kanał odprowadzający ścieki sanitarne), wyliczając wartość wskaźnika należy uwzględnić jedynie długość sieci ogólnospławnej, która będzie rozdzielona w ramach projektu - poprzez jej uwzględnienie w sieci istniejącej (nie jako sieć nowobudowana). Podobnie osoby korzystające dotąd z sieci ogólnospławnej należy uwzględnić</w:t>
      </w:r>
      <w:r>
        <w:rPr>
          <w:rFonts w:ascii="Arial" w:hAnsi="Arial" w:cs="Arial"/>
          <w:szCs w:val="20"/>
        </w:rPr>
        <w:t xml:space="preserve"> </w:t>
      </w:r>
      <w:r w:rsidRPr="00FE16AE">
        <w:rPr>
          <w:rFonts w:ascii="Arial" w:hAnsi="Arial" w:cs="Arial"/>
          <w:szCs w:val="20"/>
        </w:rPr>
        <w:t xml:space="preserve">w liczbie </w:t>
      </w:r>
      <w:r w:rsidRPr="00FE16AE">
        <w:rPr>
          <w:rFonts w:ascii="Arial" w:hAnsi="Arial" w:cs="Arial"/>
        </w:rPr>
        <w:t xml:space="preserve">osób korzystających z istniejącej sieci kanalizacyjnej (Mk ist) (nie należy ich uwzględniać jako mieszkańców nowopodłączonych) </w:t>
      </w:r>
      <w:r w:rsidRPr="00FE16AE">
        <w:rPr>
          <w:rFonts w:ascii="Arial" w:hAnsi="Arial" w:cs="Arial"/>
          <w:szCs w:val="20"/>
        </w:rPr>
        <w:t>- rozdział kanalizacji ogólnospławnej</w:t>
      </w:r>
      <w:r w:rsidRPr="00FE16AE">
        <w:rPr>
          <w:rFonts w:ascii="Arial" w:hAnsi="Arial" w:cs="Arial"/>
        </w:rPr>
        <w:t xml:space="preserve"> jest traktowany jako modernizacja istniejącego systemu. </w:t>
      </w:r>
    </w:p>
    <w:p w:rsidR="00140CFB" w:rsidRPr="00FE16AE" w:rsidRDefault="00140CFB" w:rsidP="00140CFB">
      <w:pPr>
        <w:spacing w:after="120" w:line="22" w:lineRule="atLeast"/>
        <w:contextualSpacing/>
        <w:jc w:val="both"/>
        <w:rPr>
          <w:rFonts w:ascii="Arial" w:hAnsi="Arial" w:cs="Arial"/>
          <w:szCs w:val="20"/>
        </w:rPr>
      </w:pPr>
    </w:p>
    <w:p w:rsidR="00140CFB" w:rsidRPr="00FE16AE" w:rsidRDefault="00140CFB" w:rsidP="00140CFB">
      <w:pPr>
        <w:spacing w:after="120" w:line="22" w:lineRule="atLeast"/>
        <w:contextualSpacing/>
        <w:jc w:val="both"/>
        <w:rPr>
          <w:rFonts w:ascii="Arial" w:hAnsi="Arial" w:cs="Arial"/>
          <w:szCs w:val="20"/>
          <w:u w:val="single"/>
        </w:rPr>
      </w:pPr>
      <w:r w:rsidRPr="00FE16AE">
        <w:rPr>
          <w:rFonts w:ascii="Arial" w:hAnsi="Arial" w:cs="Arial"/>
          <w:szCs w:val="20"/>
          <w:u w:val="single"/>
        </w:rPr>
        <w:t>Sytuacja 3</w:t>
      </w:r>
    </w:p>
    <w:p w:rsidR="00140CFB" w:rsidRPr="00FE16AE" w:rsidRDefault="00140CFB" w:rsidP="00140CFB">
      <w:pPr>
        <w:spacing w:after="120" w:line="22" w:lineRule="atLeast"/>
        <w:contextualSpacing/>
        <w:jc w:val="both"/>
        <w:rPr>
          <w:rFonts w:ascii="Arial" w:hAnsi="Arial" w:cs="Arial"/>
          <w:szCs w:val="20"/>
        </w:rPr>
      </w:pPr>
      <w:r w:rsidRPr="00FE16AE">
        <w:rPr>
          <w:rFonts w:ascii="Arial" w:hAnsi="Arial" w:cs="Arial"/>
          <w:szCs w:val="20"/>
        </w:rPr>
        <w:t>Na terenie aglomeracji sieć kanalizacyjna(sanitarna lub ogólnospławna)jest w trakcie budowy lub została wybudowana, ale w momencie składania Wniosku o dofinasowanie trwa jeszcze proces  podłączania się mieszkańców do tej sieci - jej długość należy uwzględnić w długości sieci istniejącej L ist, a liczbę zarówno osób korzystających już z podłączenia, jak i zakładanych do podłączenia do tej sieci (ale jeszcze nie podłączonych) należy uwzględnić w</w:t>
      </w:r>
      <w:r>
        <w:rPr>
          <w:rFonts w:ascii="Arial" w:hAnsi="Arial" w:cs="Arial"/>
          <w:szCs w:val="20"/>
        </w:rPr>
        <w:t> </w:t>
      </w:r>
      <w:r w:rsidRPr="00FE16AE">
        <w:rPr>
          <w:rFonts w:ascii="Arial" w:hAnsi="Arial" w:cs="Arial"/>
          <w:szCs w:val="20"/>
        </w:rPr>
        <w:t xml:space="preserve">liczbie osób korzystających z istniejącej sieci kanalizacyjnej Mk ist. </w:t>
      </w:r>
    </w:p>
    <w:p w:rsidR="00140CFB" w:rsidRPr="00FE16AE" w:rsidRDefault="00140CFB" w:rsidP="00140CFB">
      <w:pPr>
        <w:spacing w:after="120" w:line="22" w:lineRule="atLeast"/>
        <w:contextualSpacing/>
        <w:jc w:val="both"/>
        <w:rPr>
          <w:rFonts w:ascii="Arial" w:hAnsi="Arial" w:cs="Arial"/>
          <w:szCs w:val="20"/>
        </w:rPr>
      </w:pPr>
    </w:p>
    <w:p w:rsidR="00140CFB" w:rsidRPr="00FE16AE" w:rsidRDefault="00140CFB" w:rsidP="00140CFB">
      <w:pPr>
        <w:spacing w:after="120" w:line="22" w:lineRule="atLeast"/>
        <w:contextualSpacing/>
        <w:jc w:val="both"/>
        <w:rPr>
          <w:rFonts w:ascii="Arial" w:hAnsi="Arial" w:cs="Arial"/>
          <w:szCs w:val="20"/>
          <w:u w:val="single"/>
        </w:rPr>
      </w:pPr>
      <w:r w:rsidRPr="00FE16AE">
        <w:rPr>
          <w:rFonts w:ascii="Arial" w:hAnsi="Arial" w:cs="Arial"/>
          <w:szCs w:val="20"/>
          <w:u w:val="single"/>
        </w:rPr>
        <w:t>Sytuacja 4</w:t>
      </w:r>
    </w:p>
    <w:p w:rsidR="00140CFB" w:rsidRPr="00FE16AE" w:rsidRDefault="00140CFB" w:rsidP="00140CFB">
      <w:pPr>
        <w:spacing w:after="120" w:line="22" w:lineRule="atLeast"/>
        <w:contextualSpacing/>
        <w:jc w:val="both"/>
        <w:rPr>
          <w:rFonts w:ascii="Arial" w:hAnsi="Arial" w:cs="Arial"/>
          <w:szCs w:val="20"/>
        </w:rPr>
      </w:pPr>
      <w:r w:rsidRPr="00FE16AE">
        <w:rPr>
          <w:rFonts w:ascii="Arial" w:hAnsi="Arial" w:cs="Arial"/>
          <w:szCs w:val="20"/>
        </w:rPr>
        <w:t>W wyniku realizacji projektu nastąpi likwidacja oczyszczalni ścieków oraz wybudowanie odcinka przerzutowego celem doprowadzenia ścieków do innej oczyszczalni spełniającej wymogi prawa lub do końcowego punktu zrzutu (zasadność tego rozwiązania została potwierdzona w przeprowadzonej analizie opcji polegającej na porównaniu wariantu przerzutu ścieków i na przykład modernizacji istniejącej, nie spełniającej wymogów prawa oczyszczalni) - inwestycję należy traktować jako modernizację istniejącego systemu.</w:t>
      </w:r>
    </w:p>
    <w:p w:rsidR="00140CFB" w:rsidRPr="00FE16AE" w:rsidRDefault="00140CFB" w:rsidP="00140CFB">
      <w:pPr>
        <w:spacing w:after="120" w:line="22" w:lineRule="atLeast"/>
        <w:contextualSpacing/>
        <w:jc w:val="both"/>
        <w:rPr>
          <w:rFonts w:ascii="Arial" w:hAnsi="Arial" w:cs="Arial"/>
          <w:szCs w:val="20"/>
        </w:rPr>
      </w:pPr>
    </w:p>
    <w:p w:rsidR="00140CFB" w:rsidRPr="00FE16AE" w:rsidRDefault="00140CFB" w:rsidP="00140CFB">
      <w:pPr>
        <w:spacing w:after="120" w:line="22" w:lineRule="atLeast"/>
        <w:contextualSpacing/>
        <w:jc w:val="both"/>
        <w:rPr>
          <w:rFonts w:ascii="Arial" w:hAnsi="Arial" w:cs="Arial"/>
          <w:szCs w:val="20"/>
          <w:u w:val="single"/>
        </w:rPr>
      </w:pPr>
      <w:r w:rsidRPr="00FE16AE">
        <w:rPr>
          <w:rFonts w:ascii="Arial" w:hAnsi="Arial" w:cs="Arial"/>
          <w:szCs w:val="20"/>
          <w:u w:val="single"/>
        </w:rPr>
        <w:t>Sytuacja 5</w:t>
      </w:r>
    </w:p>
    <w:p w:rsidR="00140CFB" w:rsidRPr="00FE16AE" w:rsidRDefault="00140CFB" w:rsidP="00140CFB">
      <w:pPr>
        <w:spacing w:after="120" w:line="22" w:lineRule="atLeast"/>
        <w:contextualSpacing/>
        <w:jc w:val="both"/>
        <w:rPr>
          <w:rFonts w:ascii="Arial" w:hAnsi="Arial" w:cs="Arial"/>
          <w:szCs w:val="20"/>
        </w:rPr>
      </w:pPr>
      <w:r w:rsidRPr="00FE16AE">
        <w:rPr>
          <w:rFonts w:ascii="Arial" w:hAnsi="Arial" w:cs="Arial"/>
          <w:szCs w:val="20"/>
        </w:rPr>
        <w:t>Jeżeli ze względów technicznych dla fragmentów sieci istniejącej i/lub planowanej  konieczne jest/było równoległe położenie dwóch przewodów (tłocznego i grawitacyjnego), do obliczania L ist i L plan dopuszcza się uwzględnienie długości tylko jednego przewodu.</w:t>
      </w:r>
    </w:p>
    <w:p w:rsidR="00E04753" w:rsidRDefault="00E04753"/>
    <w:p w:rsidR="00AC5043" w:rsidRDefault="00AC5043"/>
    <w:p w:rsidR="00AC5043" w:rsidRDefault="00AC5043"/>
    <w:p w:rsidR="00AC5043" w:rsidRDefault="00AC5043"/>
    <w:p w:rsidR="00AC5043" w:rsidRDefault="00AC5043"/>
    <w:p w:rsidR="00AC5043" w:rsidRDefault="00AC5043"/>
    <w:p w:rsidR="00AC5043" w:rsidRDefault="00AC5043"/>
    <w:p w:rsidR="00AC5043" w:rsidRDefault="00AC5043"/>
    <w:p w:rsidR="00AC5043" w:rsidRDefault="00AC5043"/>
    <w:p w:rsidR="00AC5043" w:rsidRDefault="00AC5043"/>
    <w:p w:rsidR="00AC5043" w:rsidRDefault="00AC5043"/>
    <w:p w:rsidR="00AC5043" w:rsidRDefault="00AC5043"/>
    <w:p w:rsidR="00AC5043" w:rsidRPr="00AC5043" w:rsidRDefault="00AC5043"/>
    <w:sectPr w:rsidR="00AC5043" w:rsidRPr="00AC5043" w:rsidSect="00380002">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DC0" w:rsidRDefault="003F1DC0" w:rsidP="00140CFB">
      <w:pPr>
        <w:spacing w:after="0" w:line="240" w:lineRule="auto"/>
      </w:pPr>
      <w:r>
        <w:separator/>
      </w:r>
    </w:p>
  </w:endnote>
  <w:endnote w:type="continuationSeparator" w:id="0">
    <w:p w:rsidR="003F1DC0" w:rsidRDefault="003F1DC0" w:rsidP="00140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DC0" w:rsidRDefault="003F1DC0" w:rsidP="00140CFB">
      <w:pPr>
        <w:spacing w:after="0" w:line="240" w:lineRule="auto"/>
      </w:pPr>
      <w:r>
        <w:separator/>
      </w:r>
    </w:p>
  </w:footnote>
  <w:footnote w:type="continuationSeparator" w:id="0">
    <w:p w:rsidR="003F1DC0" w:rsidRDefault="003F1DC0" w:rsidP="00140CFB">
      <w:pPr>
        <w:spacing w:after="0" w:line="240" w:lineRule="auto"/>
      </w:pPr>
      <w:r>
        <w:continuationSeparator/>
      </w:r>
    </w:p>
  </w:footnote>
  <w:footnote w:id="1">
    <w:p w:rsidR="00140CFB" w:rsidRPr="00614F5D" w:rsidRDefault="00140CFB" w:rsidP="00140CFB">
      <w:pPr>
        <w:pStyle w:val="Tekstprzypisudolnego"/>
        <w:ind w:firstLine="0"/>
        <w:rPr>
          <w:rFonts w:ascii="Arial" w:hAnsi="Arial" w:cs="Arial"/>
          <w:sz w:val="16"/>
          <w:szCs w:val="16"/>
        </w:rPr>
      </w:pPr>
      <w:r w:rsidRPr="00614F5D">
        <w:rPr>
          <w:rStyle w:val="Odwoanieprzypisudolnego"/>
          <w:rFonts w:ascii="Arial" w:hAnsi="Arial" w:cs="Arial"/>
          <w:sz w:val="16"/>
          <w:szCs w:val="16"/>
        </w:rPr>
        <w:footnoteRef/>
      </w:r>
      <w:r w:rsidRPr="00614F5D">
        <w:rPr>
          <w:rFonts w:ascii="Arial" w:hAnsi="Arial" w:cs="Arial"/>
          <w:sz w:val="16"/>
          <w:szCs w:val="16"/>
        </w:rPr>
        <w:t xml:space="preserve"> RLM (Równoważna Liczba Mieszkańców) –  przez jednego równoważnego mieszkańca rozumie się ładunek substancji organicznych biologicznie rozkładalnych wyrażony jako wskaźnik pięciodobowego biochemicznego zapotrzebowania na tlen w ilości 60 g tlenu na dobę</w:t>
      </w:r>
    </w:p>
    <w:p w:rsidR="00140CFB" w:rsidRDefault="00140CFB" w:rsidP="00140CFB">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06589"/>
    <w:multiLevelType w:val="hybridMultilevel"/>
    <w:tmpl w:val="250EFD70"/>
    <w:lvl w:ilvl="0" w:tplc="B13CBB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DE6FD8"/>
    <w:multiLevelType w:val="hybridMultilevel"/>
    <w:tmpl w:val="2534C5B8"/>
    <w:lvl w:ilvl="0" w:tplc="9E6E855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2ED3625"/>
    <w:multiLevelType w:val="hybridMultilevel"/>
    <w:tmpl w:val="D5387E98"/>
    <w:lvl w:ilvl="0" w:tplc="681426C6">
      <w:start w:val="1"/>
      <w:numFmt w:val="lowerLetter"/>
      <w:lvlText w:val="%1."/>
      <w:lvlJc w:val="left"/>
      <w:pPr>
        <w:ind w:left="144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E2E392F"/>
    <w:multiLevelType w:val="hybridMultilevel"/>
    <w:tmpl w:val="0FE2D734"/>
    <w:lvl w:ilvl="0" w:tplc="A9B86E3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F7117EE"/>
    <w:multiLevelType w:val="hybridMultilevel"/>
    <w:tmpl w:val="B11E6440"/>
    <w:lvl w:ilvl="0" w:tplc="681426C6">
      <w:start w:val="1"/>
      <w:numFmt w:val="lowerLetter"/>
      <w:lvlText w:val="%1."/>
      <w:lvlJc w:val="left"/>
      <w:pPr>
        <w:ind w:left="1440" w:hanging="360"/>
      </w:pPr>
      <w:rPr>
        <w:rFonts w:hint="default"/>
      </w:rPr>
    </w:lvl>
    <w:lvl w:ilvl="1" w:tplc="E03600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62B0EEF"/>
    <w:multiLevelType w:val="hybridMultilevel"/>
    <w:tmpl w:val="4C745F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40CFB"/>
    <w:rsid w:val="00140CFB"/>
    <w:rsid w:val="00271074"/>
    <w:rsid w:val="00380002"/>
    <w:rsid w:val="003E57B5"/>
    <w:rsid w:val="003F1DC0"/>
    <w:rsid w:val="009278CE"/>
    <w:rsid w:val="009E4213"/>
    <w:rsid w:val="009E72C1"/>
    <w:rsid w:val="00AC5043"/>
    <w:rsid w:val="00C2320C"/>
    <w:rsid w:val="00C521CF"/>
    <w:rsid w:val="00D46BAC"/>
    <w:rsid w:val="00E04753"/>
    <w:rsid w:val="00E44864"/>
    <w:rsid w:val="00F45E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0CFB"/>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140CFB"/>
    <w:rPr>
      <w:vertAlign w:val="superscript"/>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
    <w:basedOn w:val="Normalny"/>
    <w:link w:val="TekstprzypisudolnegoZnak"/>
    <w:semiHidden/>
    <w:rsid w:val="00140CFB"/>
    <w:pPr>
      <w:widowControl w:val="0"/>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semiHidden/>
    <w:rsid w:val="00140CFB"/>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140CFB"/>
    <w:pPr>
      <w:ind w:left="720"/>
      <w:contextualSpacing/>
    </w:pPr>
  </w:style>
  <w:style w:type="paragraph" w:customStyle="1" w:styleId="Default">
    <w:name w:val="Default"/>
    <w:rsid w:val="00140CF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40C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CFB"/>
    <w:rPr>
      <w:rFonts w:ascii="Tahoma" w:hAnsi="Tahoma" w:cs="Tahoma"/>
      <w:sz w:val="16"/>
      <w:szCs w:val="16"/>
    </w:rPr>
  </w:style>
  <w:style w:type="paragraph" w:styleId="Nagwek">
    <w:name w:val="header"/>
    <w:basedOn w:val="Normalny"/>
    <w:link w:val="NagwekZnak"/>
    <w:uiPriority w:val="99"/>
    <w:semiHidden/>
    <w:unhideWhenUsed/>
    <w:rsid w:val="00AC504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C5043"/>
  </w:style>
  <w:style w:type="paragraph" w:styleId="Stopka">
    <w:name w:val="footer"/>
    <w:basedOn w:val="Normalny"/>
    <w:link w:val="StopkaZnak"/>
    <w:uiPriority w:val="99"/>
    <w:unhideWhenUsed/>
    <w:rsid w:val="00AC5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5043"/>
  </w:style>
</w:styles>
</file>

<file path=word/webSettings.xml><?xml version="1.0" encoding="utf-8"?>
<w:webSettings xmlns:r="http://schemas.openxmlformats.org/officeDocument/2006/relationships" xmlns:w="http://schemas.openxmlformats.org/wordprocessingml/2006/main">
  <w:divs>
    <w:div w:id="1452281344">
      <w:bodyDiv w:val="1"/>
      <w:marLeft w:val="0"/>
      <w:marRight w:val="0"/>
      <w:marTop w:val="0"/>
      <w:marBottom w:val="0"/>
      <w:divBdr>
        <w:top w:val="none" w:sz="0" w:space="0" w:color="auto"/>
        <w:left w:val="none" w:sz="0" w:space="0" w:color="auto"/>
        <w:bottom w:val="none" w:sz="0" w:space="0" w:color="auto"/>
        <w:right w:val="none" w:sz="0" w:space="0" w:color="auto"/>
      </w:divBdr>
      <w:divsChild>
        <w:div w:id="102311918">
          <w:marLeft w:val="0"/>
          <w:marRight w:val="0"/>
          <w:marTop w:val="0"/>
          <w:marBottom w:val="0"/>
          <w:divBdr>
            <w:top w:val="none" w:sz="0" w:space="0" w:color="auto"/>
            <w:left w:val="none" w:sz="0" w:space="0" w:color="auto"/>
            <w:bottom w:val="none" w:sz="0" w:space="0" w:color="auto"/>
            <w:right w:val="none" w:sz="0" w:space="0" w:color="auto"/>
          </w:divBdr>
        </w:div>
        <w:div w:id="1613980290">
          <w:marLeft w:val="0"/>
          <w:marRight w:val="0"/>
          <w:marTop w:val="0"/>
          <w:marBottom w:val="0"/>
          <w:divBdr>
            <w:top w:val="none" w:sz="0" w:space="0" w:color="auto"/>
            <w:left w:val="none" w:sz="0" w:space="0" w:color="auto"/>
            <w:bottom w:val="none" w:sz="0" w:space="0" w:color="auto"/>
            <w:right w:val="none" w:sz="0" w:space="0" w:color="auto"/>
          </w:divBdr>
        </w:div>
        <w:div w:id="799036867">
          <w:marLeft w:val="0"/>
          <w:marRight w:val="0"/>
          <w:marTop w:val="0"/>
          <w:marBottom w:val="0"/>
          <w:divBdr>
            <w:top w:val="none" w:sz="0" w:space="0" w:color="auto"/>
            <w:left w:val="none" w:sz="0" w:space="0" w:color="auto"/>
            <w:bottom w:val="none" w:sz="0" w:space="0" w:color="auto"/>
            <w:right w:val="none" w:sz="0" w:space="0" w:color="auto"/>
          </w:divBdr>
        </w:div>
        <w:div w:id="1001935908">
          <w:marLeft w:val="0"/>
          <w:marRight w:val="0"/>
          <w:marTop w:val="0"/>
          <w:marBottom w:val="0"/>
          <w:divBdr>
            <w:top w:val="none" w:sz="0" w:space="0" w:color="auto"/>
            <w:left w:val="none" w:sz="0" w:space="0" w:color="auto"/>
            <w:bottom w:val="none" w:sz="0" w:space="0" w:color="auto"/>
            <w:right w:val="none" w:sz="0" w:space="0" w:color="auto"/>
          </w:divBdr>
        </w:div>
        <w:div w:id="205993831">
          <w:marLeft w:val="0"/>
          <w:marRight w:val="0"/>
          <w:marTop w:val="0"/>
          <w:marBottom w:val="0"/>
          <w:divBdr>
            <w:top w:val="none" w:sz="0" w:space="0" w:color="auto"/>
            <w:left w:val="none" w:sz="0" w:space="0" w:color="auto"/>
            <w:bottom w:val="none" w:sz="0" w:space="0" w:color="auto"/>
            <w:right w:val="none" w:sz="0" w:space="0" w:color="auto"/>
          </w:divBdr>
        </w:div>
        <w:div w:id="2095543496">
          <w:marLeft w:val="0"/>
          <w:marRight w:val="0"/>
          <w:marTop w:val="0"/>
          <w:marBottom w:val="0"/>
          <w:divBdr>
            <w:top w:val="none" w:sz="0" w:space="0" w:color="auto"/>
            <w:left w:val="none" w:sz="0" w:space="0" w:color="auto"/>
            <w:bottom w:val="none" w:sz="0" w:space="0" w:color="auto"/>
            <w:right w:val="none" w:sz="0" w:space="0" w:color="auto"/>
          </w:divBdr>
        </w:div>
        <w:div w:id="1059744184">
          <w:marLeft w:val="0"/>
          <w:marRight w:val="0"/>
          <w:marTop w:val="0"/>
          <w:marBottom w:val="0"/>
          <w:divBdr>
            <w:top w:val="none" w:sz="0" w:space="0" w:color="auto"/>
            <w:left w:val="none" w:sz="0" w:space="0" w:color="auto"/>
            <w:bottom w:val="none" w:sz="0" w:space="0" w:color="auto"/>
            <w:right w:val="none" w:sz="0" w:space="0" w:color="auto"/>
          </w:divBdr>
        </w:div>
        <w:div w:id="1699576454">
          <w:marLeft w:val="0"/>
          <w:marRight w:val="0"/>
          <w:marTop w:val="0"/>
          <w:marBottom w:val="0"/>
          <w:divBdr>
            <w:top w:val="none" w:sz="0" w:space="0" w:color="auto"/>
            <w:left w:val="none" w:sz="0" w:space="0" w:color="auto"/>
            <w:bottom w:val="none" w:sz="0" w:space="0" w:color="auto"/>
            <w:right w:val="none" w:sz="0" w:space="0" w:color="auto"/>
          </w:divBdr>
        </w:div>
        <w:div w:id="322318768">
          <w:marLeft w:val="0"/>
          <w:marRight w:val="0"/>
          <w:marTop w:val="0"/>
          <w:marBottom w:val="0"/>
          <w:divBdr>
            <w:top w:val="none" w:sz="0" w:space="0" w:color="auto"/>
            <w:left w:val="none" w:sz="0" w:space="0" w:color="auto"/>
            <w:bottom w:val="none" w:sz="0" w:space="0" w:color="auto"/>
            <w:right w:val="none" w:sz="0" w:space="0" w:color="auto"/>
          </w:divBdr>
        </w:div>
        <w:div w:id="1097555507">
          <w:marLeft w:val="0"/>
          <w:marRight w:val="0"/>
          <w:marTop w:val="0"/>
          <w:marBottom w:val="0"/>
          <w:divBdr>
            <w:top w:val="none" w:sz="0" w:space="0" w:color="auto"/>
            <w:left w:val="none" w:sz="0" w:space="0" w:color="auto"/>
            <w:bottom w:val="none" w:sz="0" w:space="0" w:color="auto"/>
            <w:right w:val="none" w:sz="0" w:space="0" w:color="auto"/>
          </w:divBdr>
        </w:div>
        <w:div w:id="1732995012">
          <w:marLeft w:val="0"/>
          <w:marRight w:val="0"/>
          <w:marTop w:val="0"/>
          <w:marBottom w:val="0"/>
          <w:divBdr>
            <w:top w:val="none" w:sz="0" w:space="0" w:color="auto"/>
            <w:left w:val="none" w:sz="0" w:space="0" w:color="auto"/>
            <w:bottom w:val="none" w:sz="0" w:space="0" w:color="auto"/>
            <w:right w:val="none" w:sz="0" w:space="0" w:color="auto"/>
          </w:divBdr>
        </w:div>
        <w:div w:id="210745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5542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agnpac</dc:creator>
  <cp:lastModifiedBy>ewebil</cp:lastModifiedBy>
  <cp:revision>3</cp:revision>
  <cp:lastPrinted>2016-03-03T10:42:00Z</cp:lastPrinted>
  <dcterms:created xsi:type="dcterms:W3CDTF">2016-03-07T13:13:00Z</dcterms:created>
  <dcterms:modified xsi:type="dcterms:W3CDTF">2016-03-07T13:14:00Z</dcterms:modified>
</cp:coreProperties>
</file>