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F704FE">
        <w:rPr>
          <w:rFonts w:asciiTheme="minorHAnsi" w:hAnsiTheme="minorHAnsi"/>
          <w:b/>
          <w:sz w:val="22"/>
          <w:szCs w:val="22"/>
        </w:rPr>
        <w:t>9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971552">
        <w:rPr>
          <w:rFonts w:ascii="Tahoma" w:eastAsia="Tahoma" w:hAnsi="Tahoma" w:cs="Tahoma"/>
        </w:rPr>
        <w:t>1431 t.j.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</w:t>
      </w:r>
      <w:r w:rsidR="00971552">
        <w:rPr>
          <w:rFonts w:ascii="Tahoma" w:eastAsia="Tahoma" w:hAnsi="Tahoma" w:cs="Tahoma"/>
        </w:rPr>
        <w:t>9</w:t>
      </w:r>
      <w:r w:rsidR="00AD2F98">
        <w:rPr>
          <w:rFonts w:ascii="Tahoma" w:eastAsia="Tahoma" w:hAnsi="Tahoma" w:cs="Tahoma"/>
        </w:rPr>
        <w:t xml:space="preserve"> r. poz. 1</w:t>
      </w:r>
      <w:r w:rsidR="00971552">
        <w:rPr>
          <w:rFonts w:ascii="Tahoma" w:eastAsia="Tahoma" w:hAnsi="Tahoma" w:cs="Tahoma"/>
        </w:rPr>
        <w:t>843 t.j.</w:t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</w:t>
      </w:r>
      <w:r w:rsidR="00B077A4">
        <w:rPr>
          <w:rFonts w:ascii="Tahoma" w:eastAsia="Tahoma" w:hAnsi="Tahoma" w:cs="Tahoma"/>
        </w:rPr>
        <w:t>9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</w:t>
      </w:r>
      <w:r w:rsidR="00B077A4">
        <w:rPr>
          <w:rFonts w:ascii="Tahoma" w:eastAsia="Tahoma" w:hAnsi="Tahoma" w:cs="Tahoma"/>
        </w:rPr>
        <w:t>231 t.j.</w:t>
      </w:r>
      <w:r w:rsidR="002044E6">
        <w:rPr>
          <w:rFonts w:ascii="Tahoma" w:eastAsia="Tahoma" w:hAnsi="Tahoma" w:cs="Tahoma"/>
        </w:rPr>
        <w:t xml:space="preserve">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</w:t>
      </w:r>
      <w:r w:rsidR="00971552">
        <w:rPr>
          <w:rFonts w:ascii="Tahoma" w:hAnsi="Tahoma" w:cs="Tahoma"/>
        </w:rPr>
        <w:t>9</w:t>
      </w:r>
      <w:r w:rsidR="0024095A" w:rsidRPr="00F84211">
        <w:rPr>
          <w:rFonts w:ascii="Tahoma" w:hAnsi="Tahoma" w:cs="Tahoma"/>
        </w:rPr>
        <w:t xml:space="preserve"> poz. 1</w:t>
      </w:r>
      <w:r w:rsidR="00971552">
        <w:rPr>
          <w:rFonts w:ascii="Tahoma" w:hAnsi="Tahoma" w:cs="Tahoma"/>
        </w:rPr>
        <w:t>781 t.j.</w:t>
      </w:r>
      <w:r w:rsidR="0024095A" w:rsidRPr="00F84211">
        <w:rPr>
          <w:rFonts w:ascii="Tahoma" w:hAnsi="Tahoma" w:cs="Tahoma"/>
        </w:rPr>
        <w:t>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r>
        <w:rPr>
          <w:rFonts w:ascii="Tahoma" w:hAnsi="Tahoma" w:cs="Tahoma"/>
        </w:rPr>
        <w:t>zy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r w:rsidR="00F44399">
        <w:rPr>
          <w:rFonts w:ascii="Tahoma" w:hAnsi="Tahoma" w:cs="Tahoma"/>
        </w:rPr>
        <w:t>zy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r>
        <w:rPr>
          <w:rFonts w:ascii="Tahoma" w:hAnsi="Tahoma" w:cs="Tahoma"/>
        </w:rPr>
        <w:t>zy</w:t>
      </w:r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Partner/zy</w:t>
      </w:r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Partner/zy</w:t>
      </w:r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Partner/zy</w:t>
      </w:r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r>
        <w:rPr>
          <w:rFonts w:ascii="Tahoma" w:hAnsi="Tahoma" w:cs="Tahoma"/>
        </w:rPr>
        <w:t>zy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zy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r w:rsidRPr="006F37CC">
        <w:rPr>
          <w:rFonts w:ascii="Tahoma" w:hAnsi="Tahoma" w:cs="Tahoma"/>
        </w:rPr>
        <w:t>zy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r w:rsidR="0033301C">
        <w:rPr>
          <w:rFonts w:ascii="Tahoma" w:hAnsi="Tahoma" w:cs="Tahoma"/>
        </w:rPr>
        <w:t xml:space="preserve">zy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r>
        <w:rPr>
          <w:rFonts w:ascii="Tahoma" w:hAnsi="Tahoma" w:cs="Tahoma"/>
        </w:rPr>
        <w:t>zy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E8" w:rsidRDefault="002A1BE8" w:rsidP="00D3230A">
      <w:r>
        <w:separator/>
      </w:r>
    </w:p>
  </w:endnote>
  <w:endnote w:type="continuationSeparator" w:id="0">
    <w:p w:rsidR="002A1BE8" w:rsidRDefault="002A1BE8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4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E8" w:rsidRDefault="002A1BE8" w:rsidP="00D3230A">
      <w:r>
        <w:separator/>
      </w:r>
    </w:p>
  </w:footnote>
  <w:footnote w:type="continuationSeparator" w:id="0">
    <w:p w:rsidR="002A1BE8" w:rsidRDefault="002A1BE8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71552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FE16A-DD0D-4393-A5CF-C7EBF2E7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5461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Romańska, Barbara</cp:lastModifiedBy>
  <cp:revision>6</cp:revision>
  <cp:lastPrinted>2019-10-23T07:54:00Z</cp:lastPrinted>
  <dcterms:created xsi:type="dcterms:W3CDTF">2019-06-05T12:17:00Z</dcterms:created>
  <dcterms:modified xsi:type="dcterms:W3CDTF">2019-10-23T07:54:00Z</dcterms:modified>
</cp:coreProperties>
</file>