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0A" w:rsidRDefault="00B2260A" w:rsidP="00B2260A">
      <w:pPr>
        <w:autoSpaceDE w:val="0"/>
        <w:autoSpaceDN w:val="0"/>
        <w:adjustRightInd w:val="0"/>
        <w:spacing w:after="0" w:line="240" w:lineRule="auto"/>
        <w:rPr>
          <w:rFonts w:cs="Calibri"/>
          <w:sz w:val="20"/>
          <w:szCs w:val="20"/>
        </w:rPr>
      </w:pPr>
    </w:p>
    <w:p w:rsidR="00B2260A" w:rsidRPr="00B2260A" w:rsidRDefault="00B2260A" w:rsidP="00B2260A">
      <w:pPr>
        <w:autoSpaceDE w:val="0"/>
        <w:autoSpaceDN w:val="0"/>
        <w:adjustRightInd w:val="0"/>
        <w:spacing w:after="0" w:line="240" w:lineRule="auto"/>
        <w:rPr>
          <w:rFonts w:cs="Calibri"/>
          <w:sz w:val="20"/>
          <w:szCs w:val="20"/>
        </w:rPr>
      </w:pPr>
    </w:p>
    <w:tbl>
      <w:tblPr>
        <w:tblW w:w="5000" w:type="pct"/>
        <w:tblInd w:w="-1" w:type="dxa"/>
        <w:tblCellMar>
          <w:left w:w="0" w:type="dxa"/>
          <w:right w:w="0" w:type="dxa"/>
        </w:tblCellMar>
        <w:tblLook w:val="04A0" w:firstRow="1" w:lastRow="0" w:firstColumn="1" w:lastColumn="0" w:noHBand="0" w:noVBand="1"/>
      </w:tblPr>
      <w:tblGrid>
        <w:gridCol w:w="2127"/>
        <w:gridCol w:w="3106"/>
        <w:gridCol w:w="2374"/>
        <w:gridCol w:w="2859"/>
      </w:tblGrid>
      <w:tr w:rsidR="00330BC0" w:rsidRPr="00330BC0" w:rsidTr="00D61255">
        <w:tc>
          <w:tcPr>
            <w:tcW w:w="1016" w:type="pct"/>
            <w:tcMar>
              <w:left w:w="0" w:type="dxa"/>
              <w:right w:w="0" w:type="dxa"/>
            </w:tcMar>
          </w:tcPr>
          <w:p w:rsidR="00330BC0" w:rsidRPr="00330BC0" w:rsidRDefault="00330BC0" w:rsidP="00330BC0">
            <w:pPr>
              <w:spacing w:after="0" w:line="240" w:lineRule="auto"/>
              <w:rPr>
                <w:rFonts w:eastAsia="Times New Roman"/>
                <w:noProof/>
                <w:sz w:val="24"/>
                <w:szCs w:val="24"/>
                <w:lang w:eastAsia="pl-PL"/>
              </w:rPr>
            </w:pPr>
            <w:r w:rsidRPr="00330BC0">
              <w:rPr>
                <w:rFonts w:eastAsia="Times New Roman"/>
                <w:noProof/>
                <w:sz w:val="24"/>
                <w:szCs w:val="24"/>
                <w:lang w:eastAsia="pl-PL"/>
              </w:rPr>
              <w:drawing>
                <wp:inline distT="0" distB="0" distL="0" distR="0">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330BC0" w:rsidRPr="00330BC0" w:rsidRDefault="00330BC0" w:rsidP="00330BC0">
            <w:pPr>
              <w:spacing w:after="0" w:line="240" w:lineRule="auto"/>
              <w:ind w:left="48"/>
              <w:jc w:val="center"/>
              <w:rPr>
                <w:rFonts w:eastAsia="Times New Roman"/>
                <w:noProof/>
                <w:sz w:val="24"/>
                <w:szCs w:val="24"/>
                <w:lang w:eastAsia="pl-PL"/>
              </w:rPr>
            </w:pPr>
            <w:r w:rsidRPr="00330BC0">
              <w:rPr>
                <w:rFonts w:eastAsia="Times New Roman"/>
                <w:noProof/>
                <w:sz w:val="24"/>
                <w:szCs w:val="24"/>
                <w:lang w:eastAsia="pl-PL"/>
              </w:rPr>
              <w:drawing>
                <wp:inline distT="0" distB="0" distL="0" distR="0">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330BC0" w:rsidRPr="00330BC0" w:rsidRDefault="00330BC0" w:rsidP="00330BC0">
            <w:pPr>
              <w:spacing w:after="0" w:line="240" w:lineRule="auto"/>
              <w:ind w:left="-1"/>
              <w:jc w:val="center"/>
              <w:rPr>
                <w:rFonts w:eastAsia="Times New Roman"/>
                <w:noProof/>
                <w:sz w:val="24"/>
                <w:szCs w:val="24"/>
                <w:lang w:eastAsia="pl-PL"/>
              </w:rPr>
            </w:pPr>
            <w:r w:rsidRPr="00330BC0">
              <w:rPr>
                <w:rFonts w:eastAsia="Times New Roman"/>
                <w:noProof/>
                <w:sz w:val="24"/>
                <w:szCs w:val="24"/>
                <w:lang w:eastAsia="pl-PL"/>
              </w:rPr>
              <w:drawing>
                <wp:inline distT="0" distB="0" distL="0" distR="0">
                  <wp:extent cx="9525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330BC0" w:rsidRPr="00330BC0" w:rsidRDefault="00330BC0" w:rsidP="00330BC0">
            <w:pPr>
              <w:spacing w:after="0" w:line="240" w:lineRule="auto"/>
              <w:ind w:right="-1"/>
              <w:jc w:val="right"/>
              <w:rPr>
                <w:rFonts w:eastAsia="Times New Roman"/>
                <w:noProof/>
                <w:sz w:val="24"/>
                <w:szCs w:val="24"/>
                <w:lang w:eastAsia="pl-PL"/>
              </w:rPr>
            </w:pPr>
            <w:r w:rsidRPr="00330BC0">
              <w:rPr>
                <w:rFonts w:eastAsia="Times New Roman"/>
                <w:noProof/>
                <w:sz w:val="24"/>
                <w:szCs w:val="24"/>
                <w:lang w:eastAsia="pl-PL"/>
              </w:rPr>
              <w:drawing>
                <wp:inline distT="0" distB="0" distL="0" distR="0">
                  <wp:extent cx="1457325" cy="4381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C30E32" w:rsidRDefault="00C30E32" w:rsidP="00C5757B">
      <w:pPr>
        <w:autoSpaceDE w:val="0"/>
        <w:autoSpaceDN w:val="0"/>
        <w:adjustRightInd w:val="0"/>
        <w:spacing w:after="0" w:line="240" w:lineRule="auto"/>
        <w:rPr>
          <w:rFonts w:cs="Arial"/>
          <w:b/>
          <w:bCs/>
          <w:sz w:val="36"/>
          <w:szCs w:val="36"/>
        </w:rPr>
      </w:pPr>
    </w:p>
    <w:p w:rsidR="00C5757B" w:rsidRDefault="00C5757B" w:rsidP="008B566F">
      <w:pPr>
        <w:autoSpaceDE w:val="0"/>
        <w:autoSpaceDN w:val="0"/>
        <w:adjustRightInd w:val="0"/>
        <w:spacing w:after="0" w:line="240" w:lineRule="auto"/>
        <w:jc w:val="center"/>
        <w:rPr>
          <w:rFonts w:cs="Arial"/>
          <w:b/>
          <w:bCs/>
          <w:sz w:val="36"/>
          <w:szCs w:val="36"/>
        </w:rPr>
      </w:pPr>
    </w:p>
    <w:p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rsidR="0028357C" w:rsidRDefault="0028357C" w:rsidP="0028357C">
      <w:pPr>
        <w:jc w:val="center"/>
        <w:rPr>
          <w:rFonts w:ascii="Arial" w:hAnsi="Arial" w:cs="Arial"/>
          <w:b/>
          <w:bCs/>
          <w:sz w:val="36"/>
          <w:szCs w:val="36"/>
        </w:rPr>
      </w:pPr>
    </w:p>
    <w:p w:rsidR="00B2260A" w:rsidRPr="00C5757B" w:rsidRDefault="00557320" w:rsidP="00C5757B">
      <w:pPr>
        <w:jc w:val="center"/>
        <w:rPr>
          <w:rFonts w:ascii="Arial" w:hAnsi="Arial" w:cs="Arial"/>
          <w:b/>
          <w:bCs/>
          <w:sz w:val="36"/>
          <w:szCs w:val="36"/>
        </w:rPr>
      </w:pPr>
      <w:r>
        <w:rPr>
          <w:rFonts w:ascii="Arial" w:hAnsi="Arial" w:cs="Arial"/>
          <w:b/>
          <w:noProof/>
          <w:color w:val="00B050"/>
          <w:sz w:val="48"/>
          <w:szCs w:val="48"/>
          <w:lang w:eastAsia="pl-PL"/>
        </w:rPr>
        <w:drawing>
          <wp:inline distT="0" distB="0" distL="0" distR="0">
            <wp:extent cx="4873625" cy="4231640"/>
            <wp:effectExtent l="0" t="0" r="3175" b="0"/>
            <wp:docPr id="4" name="Obraz 3" descr="Tło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Tło 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3625" cy="4231640"/>
                    </a:xfrm>
                    <a:prstGeom prst="rect">
                      <a:avLst/>
                    </a:prstGeom>
                    <a:noFill/>
                    <a:ln>
                      <a:noFill/>
                    </a:ln>
                  </pic:spPr>
                </pic:pic>
              </a:graphicData>
            </a:graphic>
          </wp:inline>
        </w:drawing>
      </w:r>
    </w:p>
    <w:p w:rsidR="00B2260A" w:rsidRDefault="00B2260A" w:rsidP="0028357C">
      <w:pPr>
        <w:jc w:val="center"/>
        <w:rPr>
          <w:rFonts w:ascii="Arial" w:hAnsi="Arial" w:cs="Arial"/>
          <w:sz w:val="20"/>
          <w:szCs w:val="20"/>
        </w:rPr>
      </w:pPr>
    </w:p>
    <w:p w:rsidR="0028357C" w:rsidRDefault="008E69B2" w:rsidP="0028357C">
      <w:pPr>
        <w:jc w:val="center"/>
        <w:rPr>
          <w:rFonts w:ascii="Arial" w:hAnsi="Arial" w:cs="Arial"/>
          <w:sz w:val="20"/>
          <w:szCs w:val="20"/>
        </w:rPr>
      </w:pPr>
      <w:r>
        <w:rPr>
          <w:rFonts w:ascii="Arial" w:hAnsi="Arial" w:cs="Arial"/>
          <w:sz w:val="20"/>
          <w:szCs w:val="20"/>
        </w:rPr>
        <w:t xml:space="preserve">Kielce, </w:t>
      </w:r>
      <w:r w:rsidR="00F1134A">
        <w:rPr>
          <w:rFonts w:ascii="Arial" w:hAnsi="Arial" w:cs="Arial"/>
          <w:sz w:val="20"/>
          <w:szCs w:val="20"/>
        </w:rPr>
        <w:t xml:space="preserve">maj </w:t>
      </w:r>
      <w:r w:rsidR="00D96699">
        <w:rPr>
          <w:rFonts w:ascii="Arial" w:hAnsi="Arial" w:cs="Arial"/>
          <w:sz w:val="20"/>
          <w:szCs w:val="20"/>
        </w:rPr>
        <w:t>2018</w:t>
      </w:r>
      <w:r w:rsidR="0028357C" w:rsidRPr="00B2260A">
        <w:rPr>
          <w:rFonts w:ascii="Arial" w:hAnsi="Arial" w:cs="Arial"/>
          <w:sz w:val="20"/>
          <w:szCs w:val="20"/>
        </w:rPr>
        <w:t xml:space="preserve"> </w:t>
      </w:r>
    </w:p>
    <w:p w:rsidR="00330BC0" w:rsidRDefault="00330BC0" w:rsidP="0028357C">
      <w:pPr>
        <w:jc w:val="center"/>
        <w:rPr>
          <w:rFonts w:ascii="Arial" w:hAnsi="Arial" w:cs="Arial"/>
          <w:sz w:val="20"/>
          <w:szCs w:val="20"/>
        </w:rPr>
      </w:pPr>
    </w:p>
    <w:p w:rsidR="00330BC0" w:rsidRDefault="00330BC0" w:rsidP="0028357C">
      <w:pPr>
        <w:jc w:val="center"/>
        <w:rPr>
          <w:rFonts w:ascii="Arial" w:hAnsi="Arial" w:cs="Arial"/>
          <w:sz w:val="20"/>
          <w:szCs w:val="20"/>
        </w:rPr>
      </w:pPr>
    </w:p>
    <w:p w:rsidR="00043312" w:rsidRDefault="00043312">
      <w:pPr>
        <w:pStyle w:val="Nagwekspisutreci"/>
      </w:pPr>
      <w:r>
        <w:lastRenderedPageBreak/>
        <w:t>Zawartość</w:t>
      </w:r>
    </w:p>
    <w:p w:rsidR="00043312" w:rsidRPr="00043312" w:rsidRDefault="00043312" w:rsidP="00043312"/>
    <w:p w:rsidR="00694DB9" w:rsidRDefault="00993140">
      <w:pPr>
        <w:pStyle w:val="Spistreci1"/>
        <w:tabs>
          <w:tab w:val="right" w:leader="dot" w:pos="10456"/>
        </w:tabs>
        <w:rPr>
          <w:rFonts w:asciiTheme="minorHAnsi" w:eastAsiaTheme="minorEastAsia" w:hAnsiTheme="minorHAnsi" w:cstheme="minorBidi"/>
          <w:noProof/>
          <w:lang w:eastAsia="pl-PL"/>
        </w:rPr>
      </w:pPr>
      <w:r>
        <w:fldChar w:fldCharType="begin"/>
      </w:r>
      <w:r w:rsidR="00043312">
        <w:instrText xml:space="preserve"> TOC \o "1-3" \h \z \u </w:instrText>
      </w:r>
      <w:r>
        <w:fldChar w:fldCharType="separate"/>
      </w:r>
      <w:hyperlink w:anchor="_Toc514928875" w:history="1">
        <w:r w:rsidR="00694DB9" w:rsidRPr="007D6A91">
          <w:rPr>
            <w:rStyle w:val="Hipercze"/>
            <w:noProof/>
          </w:rPr>
          <w:t>Wstęp</w:t>
        </w:r>
        <w:r w:rsidR="00694DB9">
          <w:rPr>
            <w:noProof/>
            <w:webHidden/>
          </w:rPr>
          <w:tab/>
        </w:r>
        <w:r w:rsidR="00694DB9">
          <w:rPr>
            <w:noProof/>
            <w:webHidden/>
          </w:rPr>
          <w:fldChar w:fldCharType="begin"/>
        </w:r>
        <w:r w:rsidR="00694DB9">
          <w:rPr>
            <w:noProof/>
            <w:webHidden/>
          </w:rPr>
          <w:instrText xml:space="preserve"> PAGEREF _Toc514928875 \h </w:instrText>
        </w:r>
        <w:r w:rsidR="00694DB9">
          <w:rPr>
            <w:noProof/>
            <w:webHidden/>
          </w:rPr>
        </w:r>
        <w:r w:rsidR="00694DB9">
          <w:rPr>
            <w:noProof/>
            <w:webHidden/>
          </w:rPr>
          <w:fldChar w:fldCharType="separate"/>
        </w:r>
        <w:r w:rsidR="00694DB9">
          <w:rPr>
            <w:noProof/>
            <w:webHidden/>
          </w:rPr>
          <w:t>3</w:t>
        </w:r>
        <w:r w:rsidR="00694DB9">
          <w:rPr>
            <w:noProof/>
            <w:webHidden/>
          </w:rPr>
          <w:fldChar w:fldCharType="end"/>
        </w:r>
      </w:hyperlink>
    </w:p>
    <w:p w:rsidR="00694DB9" w:rsidRDefault="006D794F">
      <w:pPr>
        <w:pStyle w:val="Spistreci1"/>
        <w:tabs>
          <w:tab w:val="right" w:leader="dot" w:pos="10456"/>
        </w:tabs>
        <w:rPr>
          <w:rFonts w:asciiTheme="minorHAnsi" w:eastAsiaTheme="minorEastAsia" w:hAnsiTheme="minorHAnsi" w:cstheme="minorBidi"/>
          <w:noProof/>
          <w:lang w:eastAsia="pl-PL"/>
        </w:rPr>
      </w:pPr>
      <w:hyperlink w:anchor="_Toc514928876" w:history="1">
        <w:r w:rsidR="00694DB9" w:rsidRPr="007D6A91">
          <w:rPr>
            <w:rStyle w:val="Hipercze"/>
            <w:noProof/>
          </w:rPr>
          <w:t>Słownik pojęć i skrótów</w:t>
        </w:r>
        <w:r w:rsidR="00694DB9">
          <w:rPr>
            <w:noProof/>
            <w:webHidden/>
          </w:rPr>
          <w:tab/>
        </w:r>
        <w:r w:rsidR="00694DB9">
          <w:rPr>
            <w:noProof/>
            <w:webHidden/>
          </w:rPr>
          <w:fldChar w:fldCharType="begin"/>
        </w:r>
        <w:r w:rsidR="00694DB9">
          <w:rPr>
            <w:noProof/>
            <w:webHidden/>
          </w:rPr>
          <w:instrText xml:space="preserve"> PAGEREF _Toc514928876 \h </w:instrText>
        </w:r>
        <w:r w:rsidR="00694DB9">
          <w:rPr>
            <w:noProof/>
            <w:webHidden/>
          </w:rPr>
        </w:r>
        <w:r w:rsidR="00694DB9">
          <w:rPr>
            <w:noProof/>
            <w:webHidden/>
          </w:rPr>
          <w:fldChar w:fldCharType="separate"/>
        </w:r>
        <w:r w:rsidR="00694DB9">
          <w:rPr>
            <w:noProof/>
            <w:webHidden/>
          </w:rPr>
          <w:t>6</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877" w:history="1">
        <w:r w:rsidR="00694DB9" w:rsidRPr="007D6A91">
          <w:rPr>
            <w:rStyle w:val="Hipercze"/>
            <w:noProof/>
          </w:rPr>
          <w:t>1.</w:t>
        </w:r>
        <w:r w:rsidR="00694DB9">
          <w:rPr>
            <w:rFonts w:asciiTheme="minorHAnsi" w:eastAsiaTheme="minorEastAsia" w:hAnsiTheme="minorHAnsi" w:cstheme="minorBidi"/>
            <w:noProof/>
            <w:lang w:eastAsia="pl-PL"/>
          </w:rPr>
          <w:tab/>
        </w:r>
        <w:r w:rsidR="00694DB9" w:rsidRPr="007D6A91">
          <w:rPr>
            <w:rStyle w:val="Hipercze"/>
            <w:noProof/>
          </w:rPr>
          <w:t>Identyfikacja projektu</w:t>
        </w:r>
        <w:r w:rsidR="00694DB9">
          <w:rPr>
            <w:noProof/>
            <w:webHidden/>
          </w:rPr>
          <w:tab/>
        </w:r>
        <w:r w:rsidR="00694DB9">
          <w:rPr>
            <w:noProof/>
            <w:webHidden/>
          </w:rPr>
          <w:fldChar w:fldCharType="begin"/>
        </w:r>
        <w:r w:rsidR="00694DB9">
          <w:rPr>
            <w:noProof/>
            <w:webHidden/>
          </w:rPr>
          <w:instrText xml:space="preserve"> PAGEREF _Toc514928877 \h </w:instrText>
        </w:r>
        <w:r w:rsidR="00694DB9">
          <w:rPr>
            <w:noProof/>
            <w:webHidden/>
          </w:rPr>
        </w:r>
        <w:r w:rsidR="00694DB9">
          <w:rPr>
            <w:noProof/>
            <w:webHidden/>
          </w:rPr>
          <w:fldChar w:fldCharType="separate"/>
        </w:r>
        <w:r w:rsidR="00694DB9">
          <w:rPr>
            <w:noProof/>
            <w:webHidden/>
          </w:rPr>
          <w:t>15</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78" w:history="1">
        <w:r w:rsidR="00694DB9" w:rsidRPr="007D6A91">
          <w:rPr>
            <w:rStyle w:val="Hipercze"/>
            <w:rFonts w:asciiTheme="majorHAnsi" w:hAnsiTheme="majorHAnsi"/>
            <w:noProof/>
          </w:rPr>
          <w:t>1.1.</w:t>
        </w:r>
        <w:r w:rsidR="00694DB9">
          <w:rPr>
            <w:rFonts w:asciiTheme="minorHAnsi" w:eastAsiaTheme="minorEastAsia" w:hAnsiTheme="minorHAnsi" w:cstheme="minorBidi"/>
            <w:noProof/>
            <w:lang w:eastAsia="pl-PL"/>
          </w:rPr>
          <w:tab/>
        </w:r>
        <w:r w:rsidR="00694DB9" w:rsidRPr="007D6A91">
          <w:rPr>
            <w:rStyle w:val="Hipercze"/>
            <w:noProof/>
          </w:rPr>
          <w:t>Podstawowe dane o projekcie</w:t>
        </w:r>
        <w:r w:rsidR="00694DB9">
          <w:rPr>
            <w:noProof/>
            <w:webHidden/>
          </w:rPr>
          <w:tab/>
        </w:r>
        <w:r w:rsidR="00694DB9">
          <w:rPr>
            <w:noProof/>
            <w:webHidden/>
          </w:rPr>
          <w:fldChar w:fldCharType="begin"/>
        </w:r>
        <w:r w:rsidR="00694DB9">
          <w:rPr>
            <w:noProof/>
            <w:webHidden/>
          </w:rPr>
          <w:instrText xml:space="preserve"> PAGEREF _Toc514928878 \h </w:instrText>
        </w:r>
        <w:r w:rsidR="00694DB9">
          <w:rPr>
            <w:noProof/>
            <w:webHidden/>
          </w:rPr>
        </w:r>
        <w:r w:rsidR="00694DB9">
          <w:rPr>
            <w:noProof/>
            <w:webHidden/>
          </w:rPr>
          <w:fldChar w:fldCharType="separate"/>
        </w:r>
        <w:r w:rsidR="00694DB9">
          <w:rPr>
            <w:noProof/>
            <w:webHidden/>
          </w:rPr>
          <w:t>16</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79" w:history="1">
        <w:r w:rsidR="00694DB9" w:rsidRPr="007D6A91">
          <w:rPr>
            <w:rStyle w:val="Hipercze"/>
            <w:rFonts w:asciiTheme="majorHAnsi" w:hAnsiTheme="majorHAnsi"/>
            <w:noProof/>
          </w:rPr>
          <w:t>1.2.</w:t>
        </w:r>
        <w:r w:rsidR="00694DB9">
          <w:rPr>
            <w:rFonts w:asciiTheme="minorHAnsi" w:eastAsiaTheme="minorEastAsia" w:hAnsiTheme="minorHAnsi" w:cstheme="minorBidi"/>
            <w:noProof/>
            <w:lang w:eastAsia="pl-PL"/>
          </w:rPr>
          <w:tab/>
        </w:r>
        <w:r w:rsidR="00694DB9" w:rsidRPr="007D6A91">
          <w:rPr>
            <w:rStyle w:val="Hipercze"/>
            <w:noProof/>
          </w:rPr>
          <w:t>Opis stanu aktualnego (przed realizacją)</w:t>
        </w:r>
        <w:r w:rsidR="00694DB9">
          <w:rPr>
            <w:noProof/>
            <w:webHidden/>
          </w:rPr>
          <w:tab/>
        </w:r>
        <w:r w:rsidR="00694DB9">
          <w:rPr>
            <w:noProof/>
            <w:webHidden/>
          </w:rPr>
          <w:fldChar w:fldCharType="begin"/>
        </w:r>
        <w:r w:rsidR="00694DB9">
          <w:rPr>
            <w:noProof/>
            <w:webHidden/>
          </w:rPr>
          <w:instrText xml:space="preserve"> PAGEREF _Toc514928879 \h </w:instrText>
        </w:r>
        <w:r w:rsidR="00694DB9">
          <w:rPr>
            <w:noProof/>
            <w:webHidden/>
          </w:rPr>
        </w:r>
        <w:r w:rsidR="00694DB9">
          <w:rPr>
            <w:noProof/>
            <w:webHidden/>
          </w:rPr>
          <w:fldChar w:fldCharType="separate"/>
        </w:r>
        <w:r w:rsidR="00694DB9">
          <w:rPr>
            <w:noProof/>
            <w:webHidden/>
          </w:rPr>
          <w:t>16</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80" w:history="1">
        <w:r w:rsidR="00694DB9" w:rsidRPr="007D6A91">
          <w:rPr>
            <w:rStyle w:val="Hipercze"/>
            <w:rFonts w:asciiTheme="majorHAnsi" w:eastAsia="ArialNarrow,Bold" w:hAnsiTheme="majorHAnsi"/>
            <w:noProof/>
          </w:rPr>
          <w:t>1.3.</w:t>
        </w:r>
        <w:r w:rsidR="00694DB9">
          <w:rPr>
            <w:rFonts w:asciiTheme="minorHAnsi" w:eastAsiaTheme="minorEastAsia" w:hAnsiTheme="minorHAnsi" w:cstheme="minorBidi"/>
            <w:noProof/>
            <w:lang w:eastAsia="pl-PL"/>
          </w:rPr>
          <w:tab/>
        </w:r>
        <w:r w:rsidR="00694DB9" w:rsidRPr="007D6A91">
          <w:rPr>
            <w:rStyle w:val="Hipercze"/>
            <w:rFonts w:eastAsia="ArialNarrow,Bold"/>
            <w:noProof/>
          </w:rPr>
          <w:t>Opis stanu projektowanego</w:t>
        </w:r>
        <w:r w:rsidR="00694DB9">
          <w:rPr>
            <w:noProof/>
            <w:webHidden/>
          </w:rPr>
          <w:tab/>
        </w:r>
        <w:r w:rsidR="00694DB9">
          <w:rPr>
            <w:noProof/>
            <w:webHidden/>
          </w:rPr>
          <w:fldChar w:fldCharType="begin"/>
        </w:r>
        <w:r w:rsidR="00694DB9">
          <w:rPr>
            <w:noProof/>
            <w:webHidden/>
          </w:rPr>
          <w:instrText xml:space="preserve"> PAGEREF _Toc514928880 \h </w:instrText>
        </w:r>
        <w:r w:rsidR="00694DB9">
          <w:rPr>
            <w:noProof/>
            <w:webHidden/>
          </w:rPr>
        </w:r>
        <w:r w:rsidR="00694DB9">
          <w:rPr>
            <w:noProof/>
            <w:webHidden/>
          </w:rPr>
          <w:fldChar w:fldCharType="separate"/>
        </w:r>
        <w:r w:rsidR="00694DB9">
          <w:rPr>
            <w:noProof/>
            <w:webHidden/>
          </w:rPr>
          <w:t>17</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81" w:history="1">
        <w:r w:rsidR="00694DB9" w:rsidRPr="007D6A91">
          <w:rPr>
            <w:rStyle w:val="Hipercze"/>
            <w:rFonts w:asciiTheme="majorHAnsi" w:hAnsiTheme="majorHAnsi"/>
            <w:noProof/>
          </w:rPr>
          <w:t>1.4.</w:t>
        </w:r>
        <w:r w:rsidR="00694DB9">
          <w:rPr>
            <w:rFonts w:asciiTheme="minorHAnsi" w:eastAsiaTheme="minorEastAsia" w:hAnsiTheme="minorHAnsi" w:cstheme="minorBidi"/>
            <w:noProof/>
            <w:lang w:eastAsia="pl-PL"/>
          </w:rPr>
          <w:tab/>
        </w:r>
        <w:r w:rsidR="00694DB9" w:rsidRPr="007D6A91">
          <w:rPr>
            <w:rStyle w:val="Hipercze"/>
            <w:noProof/>
          </w:rPr>
          <w:t>Lokalizacja projektu</w:t>
        </w:r>
        <w:r w:rsidR="00694DB9">
          <w:rPr>
            <w:noProof/>
            <w:webHidden/>
          </w:rPr>
          <w:tab/>
        </w:r>
        <w:r w:rsidR="00694DB9">
          <w:rPr>
            <w:noProof/>
            <w:webHidden/>
          </w:rPr>
          <w:fldChar w:fldCharType="begin"/>
        </w:r>
        <w:r w:rsidR="00694DB9">
          <w:rPr>
            <w:noProof/>
            <w:webHidden/>
          </w:rPr>
          <w:instrText xml:space="preserve"> PAGEREF _Toc514928881 \h </w:instrText>
        </w:r>
        <w:r w:rsidR="00694DB9">
          <w:rPr>
            <w:noProof/>
            <w:webHidden/>
          </w:rPr>
        </w:r>
        <w:r w:rsidR="00694DB9">
          <w:rPr>
            <w:noProof/>
            <w:webHidden/>
          </w:rPr>
          <w:fldChar w:fldCharType="separate"/>
        </w:r>
        <w:r w:rsidR="00694DB9">
          <w:rPr>
            <w:noProof/>
            <w:webHidden/>
          </w:rPr>
          <w:t>19</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82" w:history="1">
        <w:r w:rsidR="00694DB9" w:rsidRPr="007D6A91">
          <w:rPr>
            <w:rStyle w:val="Hipercze"/>
            <w:rFonts w:asciiTheme="majorHAnsi" w:eastAsia="ArialNarrow,Bold" w:hAnsiTheme="majorHAnsi"/>
            <w:noProof/>
          </w:rPr>
          <w:t>1.5.</w:t>
        </w:r>
        <w:r w:rsidR="00694DB9">
          <w:rPr>
            <w:rFonts w:asciiTheme="minorHAnsi" w:eastAsiaTheme="minorEastAsia" w:hAnsiTheme="minorHAnsi" w:cstheme="minorBidi"/>
            <w:noProof/>
            <w:lang w:eastAsia="pl-PL"/>
          </w:rPr>
          <w:tab/>
        </w:r>
        <w:r w:rsidR="00694DB9" w:rsidRPr="007D6A91">
          <w:rPr>
            <w:rStyle w:val="Hipercze"/>
            <w:rFonts w:eastAsia="ArialNarrow,Bold"/>
            <w:noProof/>
          </w:rPr>
          <w:t>Analiza pomocy publicznej</w:t>
        </w:r>
        <w:r w:rsidR="00694DB9">
          <w:rPr>
            <w:noProof/>
            <w:webHidden/>
          </w:rPr>
          <w:tab/>
        </w:r>
        <w:r w:rsidR="00694DB9">
          <w:rPr>
            <w:noProof/>
            <w:webHidden/>
          </w:rPr>
          <w:fldChar w:fldCharType="begin"/>
        </w:r>
        <w:r w:rsidR="00694DB9">
          <w:rPr>
            <w:noProof/>
            <w:webHidden/>
          </w:rPr>
          <w:instrText xml:space="preserve"> PAGEREF _Toc514928882 \h </w:instrText>
        </w:r>
        <w:r w:rsidR="00694DB9">
          <w:rPr>
            <w:noProof/>
            <w:webHidden/>
          </w:rPr>
        </w:r>
        <w:r w:rsidR="00694DB9">
          <w:rPr>
            <w:noProof/>
            <w:webHidden/>
          </w:rPr>
          <w:fldChar w:fldCharType="separate"/>
        </w:r>
        <w:r w:rsidR="00694DB9">
          <w:rPr>
            <w:noProof/>
            <w:webHidden/>
          </w:rPr>
          <w:t>19</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883" w:history="1">
        <w:r w:rsidR="00694DB9" w:rsidRPr="007D6A91">
          <w:rPr>
            <w:rStyle w:val="Hipercze"/>
            <w:noProof/>
          </w:rPr>
          <w:t>2.</w:t>
        </w:r>
        <w:r w:rsidR="00694DB9">
          <w:rPr>
            <w:rFonts w:asciiTheme="minorHAnsi" w:eastAsiaTheme="minorEastAsia" w:hAnsiTheme="minorHAnsi" w:cstheme="minorBidi"/>
            <w:noProof/>
            <w:lang w:eastAsia="pl-PL"/>
          </w:rPr>
          <w:tab/>
        </w:r>
        <w:r w:rsidR="00694DB9" w:rsidRPr="007D6A91">
          <w:rPr>
            <w:rStyle w:val="Hipercze"/>
            <w:noProof/>
          </w:rPr>
          <w:t>Definicja celów projektu</w:t>
        </w:r>
        <w:r w:rsidR="00694DB9">
          <w:rPr>
            <w:noProof/>
            <w:webHidden/>
          </w:rPr>
          <w:tab/>
        </w:r>
        <w:r w:rsidR="00694DB9">
          <w:rPr>
            <w:noProof/>
            <w:webHidden/>
          </w:rPr>
          <w:fldChar w:fldCharType="begin"/>
        </w:r>
        <w:r w:rsidR="00694DB9">
          <w:rPr>
            <w:noProof/>
            <w:webHidden/>
          </w:rPr>
          <w:instrText xml:space="preserve"> PAGEREF _Toc514928883 \h </w:instrText>
        </w:r>
        <w:r w:rsidR="00694DB9">
          <w:rPr>
            <w:noProof/>
            <w:webHidden/>
          </w:rPr>
        </w:r>
        <w:r w:rsidR="00694DB9">
          <w:rPr>
            <w:noProof/>
            <w:webHidden/>
          </w:rPr>
          <w:fldChar w:fldCharType="separate"/>
        </w:r>
        <w:r w:rsidR="00694DB9">
          <w:rPr>
            <w:noProof/>
            <w:webHidden/>
          </w:rPr>
          <w:t>20</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84" w:history="1">
        <w:r w:rsidR="00694DB9" w:rsidRPr="007D6A91">
          <w:rPr>
            <w:rStyle w:val="Hipercze"/>
            <w:rFonts w:asciiTheme="majorHAnsi" w:hAnsiTheme="majorHAnsi"/>
            <w:noProof/>
          </w:rPr>
          <w:t>2.1.</w:t>
        </w:r>
        <w:r w:rsidR="00694DB9">
          <w:rPr>
            <w:rFonts w:asciiTheme="minorHAnsi" w:eastAsiaTheme="minorEastAsia" w:hAnsiTheme="minorHAnsi" w:cstheme="minorBidi"/>
            <w:noProof/>
            <w:lang w:eastAsia="pl-PL"/>
          </w:rPr>
          <w:tab/>
        </w:r>
        <w:r w:rsidR="00694DB9" w:rsidRPr="007D6A91">
          <w:rPr>
            <w:rStyle w:val="Hipercze"/>
            <w:noProof/>
          </w:rPr>
          <w:t>Wskaźniki realizacji celów projektu</w:t>
        </w:r>
        <w:r w:rsidR="00694DB9">
          <w:rPr>
            <w:noProof/>
            <w:webHidden/>
          </w:rPr>
          <w:tab/>
        </w:r>
        <w:r w:rsidR="00694DB9">
          <w:rPr>
            <w:noProof/>
            <w:webHidden/>
          </w:rPr>
          <w:fldChar w:fldCharType="begin"/>
        </w:r>
        <w:r w:rsidR="00694DB9">
          <w:rPr>
            <w:noProof/>
            <w:webHidden/>
          </w:rPr>
          <w:instrText xml:space="preserve"> PAGEREF _Toc514928884 \h </w:instrText>
        </w:r>
        <w:r w:rsidR="00694DB9">
          <w:rPr>
            <w:noProof/>
            <w:webHidden/>
          </w:rPr>
        </w:r>
        <w:r w:rsidR="00694DB9">
          <w:rPr>
            <w:noProof/>
            <w:webHidden/>
          </w:rPr>
          <w:fldChar w:fldCharType="separate"/>
        </w:r>
        <w:r w:rsidR="00694DB9">
          <w:rPr>
            <w:noProof/>
            <w:webHidden/>
          </w:rPr>
          <w:t>21</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885" w:history="1">
        <w:r w:rsidR="00694DB9" w:rsidRPr="007D6A91">
          <w:rPr>
            <w:rStyle w:val="Hipercze"/>
            <w:rFonts w:cs="Arial"/>
            <w:noProof/>
          </w:rPr>
          <w:t>3.</w:t>
        </w:r>
        <w:r w:rsidR="00694DB9">
          <w:rPr>
            <w:rFonts w:asciiTheme="minorHAnsi" w:eastAsiaTheme="minorEastAsia" w:hAnsiTheme="minorHAnsi" w:cstheme="minorBidi"/>
            <w:noProof/>
            <w:lang w:eastAsia="pl-PL"/>
          </w:rPr>
          <w:tab/>
        </w:r>
        <w:r w:rsidR="00694DB9" w:rsidRPr="007D6A91">
          <w:rPr>
            <w:rStyle w:val="Hipercze"/>
            <w:noProof/>
          </w:rPr>
          <w:t>Komplementarność i spójność projektu z innymi przedsięwzięciami oraz zgodność z innymi programami, strategiami branżowymi</w:t>
        </w:r>
        <w:r w:rsidR="00694DB9">
          <w:rPr>
            <w:noProof/>
            <w:webHidden/>
          </w:rPr>
          <w:tab/>
        </w:r>
        <w:r w:rsidR="00694DB9">
          <w:rPr>
            <w:noProof/>
            <w:webHidden/>
          </w:rPr>
          <w:fldChar w:fldCharType="begin"/>
        </w:r>
        <w:r w:rsidR="00694DB9">
          <w:rPr>
            <w:noProof/>
            <w:webHidden/>
          </w:rPr>
          <w:instrText xml:space="preserve"> PAGEREF _Toc514928885 \h </w:instrText>
        </w:r>
        <w:r w:rsidR="00694DB9">
          <w:rPr>
            <w:noProof/>
            <w:webHidden/>
          </w:rPr>
        </w:r>
        <w:r w:rsidR="00694DB9">
          <w:rPr>
            <w:noProof/>
            <w:webHidden/>
          </w:rPr>
          <w:fldChar w:fldCharType="separate"/>
        </w:r>
        <w:r w:rsidR="00694DB9">
          <w:rPr>
            <w:noProof/>
            <w:webHidden/>
          </w:rPr>
          <w:t>22</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886" w:history="1">
        <w:r w:rsidR="00694DB9" w:rsidRPr="007D6A91">
          <w:rPr>
            <w:rStyle w:val="Hipercze"/>
            <w:noProof/>
          </w:rPr>
          <w:t>4.</w:t>
        </w:r>
        <w:r w:rsidR="00694DB9">
          <w:rPr>
            <w:rFonts w:asciiTheme="minorHAnsi" w:eastAsiaTheme="minorEastAsia" w:hAnsiTheme="minorHAnsi" w:cstheme="minorBidi"/>
            <w:noProof/>
            <w:lang w:eastAsia="pl-PL"/>
          </w:rPr>
          <w:tab/>
        </w:r>
        <w:r w:rsidR="00694DB9" w:rsidRPr="007D6A91">
          <w:rPr>
            <w:rStyle w:val="Hipercze"/>
            <w:noProof/>
          </w:rPr>
          <w:t>Instytucjonalna i prawna wykonalność projektu</w:t>
        </w:r>
        <w:r w:rsidR="00694DB9">
          <w:rPr>
            <w:noProof/>
            <w:webHidden/>
          </w:rPr>
          <w:tab/>
        </w:r>
        <w:r w:rsidR="00694DB9">
          <w:rPr>
            <w:noProof/>
            <w:webHidden/>
          </w:rPr>
          <w:fldChar w:fldCharType="begin"/>
        </w:r>
        <w:r w:rsidR="00694DB9">
          <w:rPr>
            <w:noProof/>
            <w:webHidden/>
          </w:rPr>
          <w:instrText xml:space="preserve"> PAGEREF _Toc514928886 \h </w:instrText>
        </w:r>
        <w:r w:rsidR="00694DB9">
          <w:rPr>
            <w:noProof/>
            <w:webHidden/>
          </w:rPr>
        </w:r>
        <w:r w:rsidR="00694DB9">
          <w:rPr>
            <w:noProof/>
            <w:webHidden/>
          </w:rPr>
          <w:fldChar w:fldCharType="separate"/>
        </w:r>
        <w:r w:rsidR="00694DB9">
          <w:rPr>
            <w:noProof/>
            <w:webHidden/>
          </w:rPr>
          <w:t>22</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87" w:history="1">
        <w:r w:rsidR="00694DB9" w:rsidRPr="007D6A91">
          <w:rPr>
            <w:rStyle w:val="Hipercze"/>
            <w:rFonts w:asciiTheme="majorHAnsi" w:hAnsiTheme="majorHAnsi"/>
            <w:noProof/>
          </w:rPr>
          <w:t>4.1.</w:t>
        </w:r>
        <w:r w:rsidR="00694DB9">
          <w:rPr>
            <w:rFonts w:asciiTheme="minorHAnsi" w:eastAsiaTheme="minorEastAsia" w:hAnsiTheme="minorHAnsi" w:cstheme="minorBidi"/>
            <w:noProof/>
            <w:lang w:eastAsia="pl-PL"/>
          </w:rPr>
          <w:tab/>
        </w:r>
        <w:r w:rsidR="00694DB9" w:rsidRPr="007D6A91">
          <w:rPr>
            <w:rStyle w:val="Hipercze"/>
            <w:noProof/>
          </w:rPr>
          <w:t>Analiza instytucjonalna</w:t>
        </w:r>
        <w:r w:rsidR="00694DB9">
          <w:rPr>
            <w:noProof/>
            <w:webHidden/>
          </w:rPr>
          <w:tab/>
        </w:r>
        <w:r w:rsidR="00694DB9">
          <w:rPr>
            <w:noProof/>
            <w:webHidden/>
          </w:rPr>
          <w:fldChar w:fldCharType="begin"/>
        </w:r>
        <w:r w:rsidR="00694DB9">
          <w:rPr>
            <w:noProof/>
            <w:webHidden/>
          </w:rPr>
          <w:instrText xml:space="preserve"> PAGEREF _Toc514928887 \h </w:instrText>
        </w:r>
        <w:r w:rsidR="00694DB9">
          <w:rPr>
            <w:noProof/>
            <w:webHidden/>
          </w:rPr>
        </w:r>
        <w:r w:rsidR="00694DB9">
          <w:rPr>
            <w:noProof/>
            <w:webHidden/>
          </w:rPr>
          <w:fldChar w:fldCharType="separate"/>
        </w:r>
        <w:r w:rsidR="00694DB9">
          <w:rPr>
            <w:noProof/>
            <w:webHidden/>
          </w:rPr>
          <w:t>22</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88" w:history="1">
        <w:r w:rsidR="00694DB9" w:rsidRPr="007D6A91">
          <w:rPr>
            <w:rStyle w:val="Hipercze"/>
            <w:rFonts w:asciiTheme="majorHAnsi" w:hAnsiTheme="majorHAnsi"/>
            <w:noProof/>
          </w:rPr>
          <w:t>4.2.</w:t>
        </w:r>
        <w:r w:rsidR="00694DB9">
          <w:rPr>
            <w:rFonts w:asciiTheme="minorHAnsi" w:eastAsiaTheme="minorEastAsia" w:hAnsiTheme="minorHAnsi" w:cstheme="minorBidi"/>
            <w:noProof/>
            <w:lang w:eastAsia="pl-PL"/>
          </w:rPr>
          <w:tab/>
        </w:r>
        <w:r w:rsidR="00694DB9" w:rsidRPr="007D6A91">
          <w:rPr>
            <w:rStyle w:val="Hipercze"/>
            <w:noProof/>
          </w:rPr>
          <w:t>Analiza prawna</w:t>
        </w:r>
        <w:r w:rsidR="00694DB9">
          <w:rPr>
            <w:noProof/>
            <w:webHidden/>
          </w:rPr>
          <w:tab/>
        </w:r>
        <w:r w:rsidR="00694DB9">
          <w:rPr>
            <w:noProof/>
            <w:webHidden/>
          </w:rPr>
          <w:fldChar w:fldCharType="begin"/>
        </w:r>
        <w:r w:rsidR="00694DB9">
          <w:rPr>
            <w:noProof/>
            <w:webHidden/>
          </w:rPr>
          <w:instrText xml:space="preserve"> PAGEREF _Toc514928888 \h </w:instrText>
        </w:r>
        <w:r w:rsidR="00694DB9">
          <w:rPr>
            <w:noProof/>
            <w:webHidden/>
          </w:rPr>
        </w:r>
        <w:r w:rsidR="00694DB9">
          <w:rPr>
            <w:noProof/>
            <w:webHidden/>
          </w:rPr>
          <w:fldChar w:fldCharType="separate"/>
        </w:r>
        <w:r w:rsidR="00694DB9">
          <w:rPr>
            <w:noProof/>
            <w:webHidden/>
          </w:rPr>
          <w:t>23</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89" w:history="1">
        <w:r w:rsidR="00694DB9" w:rsidRPr="007D6A91">
          <w:rPr>
            <w:rStyle w:val="Hipercze"/>
            <w:rFonts w:asciiTheme="majorHAnsi" w:hAnsiTheme="majorHAnsi"/>
            <w:noProof/>
          </w:rPr>
          <w:t>4.3.</w:t>
        </w:r>
        <w:r w:rsidR="00694DB9">
          <w:rPr>
            <w:rFonts w:asciiTheme="minorHAnsi" w:eastAsiaTheme="minorEastAsia" w:hAnsiTheme="minorHAnsi" w:cstheme="minorBidi"/>
            <w:noProof/>
            <w:lang w:eastAsia="pl-PL"/>
          </w:rPr>
          <w:tab/>
        </w:r>
        <w:r w:rsidR="00694DB9" w:rsidRPr="007D6A91">
          <w:rPr>
            <w:rStyle w:val="Hipercze"/>
            <w:noProof/>
          </w:rPr>
          <w:t>Analiza trwałości</w:t>
        </w:r>
        <w:r w:rsidR="00694DB9">
          <w:rPr>
            <w:noProof/>
            <w:webHidden/>
          </w:rPr>
          <w:tab/>
        </w:r>
        <w:r w:rsidR="00694DB9">
          <w:rPr>
            <w:noProof/>
            <w:webHidden/>
          </w:rPr>
          <w:fldChar w:fldCharType="begin"/>
        </w:r>
        <w:r w:rsidR="00694DB9">
          <w:rPr>
            <w:noProof/>
            <w:webHidden/>
          </w:rPr>
          <w:instrText xml:space="preserve"> PAGEREF _Toc514928889 \h </w:instrText>
        </w:r>
        <w:r w:rsidR="00694DB9">
          <w:rPr>
            <w:noProof/>
            <w:webHidden/>
          </w:rPr>
        </w:r>
        <w:r w:rsidR="00694DB9">
          <w:rPr>
            <w:noProof/>
            <w:webHidden/>
          </w:rPr>
          <w:fldChar w:fldCharType="separate"/>
        </w:r>
        <w:r w:rsidR="00694DB9">
          <w:rPr>
            <w:noProof/>
            <w:webHidden/>
          </w:rPr>
          <w:t>23</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90" w:history="1">
        <w:r w:rsidR="00694DB9" w:rsidRPr="007D6A91">
          <w:rPr>
            <w:rStyle w:val="Hipercze"/>
            <w:rFonts w:asciiTheme="majorHAnsi" w:hAnsiTheme="majorHAnsi"/>
            <w:noProof/>
          </w:rPr>
          <w:t>4.4.</w:t>
        </w:r>
        <w:r w:rsidR="00694DB9">
          <w:rPr>
            <w:rFonts w:asciiTheme="minorHAnsi" w:eastAsiaTheme="minorEastAsia" w:hAnsiTheme="minorHAnsi" w:cstheme="minorBidi"/>
            <w:noProof/>
            <w:lang w:eastAsia="pl-PL"/>
          </w:rPr>
          <w:tab/>
        </w:r>
        <w:r w:rsidR="00694DB9" w:rsidRPr="007D6A91">
          <w:rPr>
            <w:rStyle w:val="Hipercze"/>
            <w:noProof/>
          </w:rPr>
          <w:t>Harmonogram wdrożenia projektu</w:t>
        </w:r>
        <w:r w:rsidR="00694DB9">
          <w:rPr>
            <w:noProof/>
            <w:webHidden/>
          </w:rPr>
          <w:tab/>
        </w:r>
        <w:r w:rsidR="00694DB9">
          <w:rPr>
            <w:noProof/>
            <w:webHidden/>
          </w:rPr>
          <w:fldChar w:fldCharType="begin"/>
        </w:r>
        <w:r w:rsidR="00694DB9">
          <w:rPr>
            <w:noProof/>
            <w:webHidden/>
          </w:rPr>
          <w:instrText xml:space="preserve"> PAGEREF _Toc514928890 \h </w:instrText>
        </w:r>
        <w:r w:rsidR="00694DB9">
          <w:rPr>
            <w:noProof/>
            <w:webHidden/>
          </w:rPr>
        </w:r>
        <w:r w:rsidR="00694DB9">
          <w:rPr>
            <w:noProof/>
            <w:webHidden/>
          </w:rPr>
          <w:fldChar w:fldCharType="separate"/>
        </w:r>
        <w:r w:rsidR="00694DB9">
          <w:rPr>
            <w:noProof/>
            <w:webHidden/>
          </w:rPr>
          <w:t>24</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891" w:history="1">
        <w:r w:rsidR="00694DB9" w:rsidRPr="007D6A91">
          <w:rPr>
            <w:rStyle w:val="Hipercze"/>
            <w:noProof/>
          </w:rPr>
          <w:t>5.</w:t>
        </w:r>
        <w:r w:rsidR="00694DB9">
          <w:rPr>
            <w:rFonts w:asciiTheme="minorHAnsi" w:eastAsiaTheme="minorEastAsia" w:hAnsiTheme="minorHAnsi" w:cstheme="minorBidi"/>
            <w:noProof/>
            <w:lang w:eastAsia="pl-PL"/>
          </w:rPr>
          <w:tab/>
        </w:r>
        <w:r w:rsidR="00694DB9" w:rsidRPr="007D6A91">
          <w:rPr>
            <w:rStyle w:val="Hipercze"/>
            <w:noProof/>
          </w:rPr>
          <w:t>Analiza wykonalności, analiza popytu oraz analiza opcji</w:t>
        </w:r>
        <w:r w:rsidR="00694DB9">
          <w:rPr>
            <w:noProof/>
            <w:webHidden/>
          </w:rPr>
          <w:tab/>
        </w:r>
        <w:r w:rsidR="00694DB9">
          <w:rPr>
            <w:noProof/>
            <w:webHidden/>
          </w:rPr>
          <w:fldChar w:fldCharType="begin"/>
        </w:r>
        <w:r w:rsidR="00694DB9">
          <w:rPr>
            <w:noProof/>
            <w:webHidden/>
          </w:rPr>
          <w:instrText xml:space="preserve"> PAGEREF _Toc514928891 \h </w:instrText>
        </w:r>
        <w:r w:rsidR="00694DB9">
          <w:rPr>
            <w:noProof/>
            <w:webHidden/>
          </w:rPr>
        </w:r>
        <w:r w:rsidR="00694DB9">
          <w:rPr>
            <w:noProof/>
            <w:webHidden/>
          </w:rPr>
          <w:fldChar w:fldCharType="separate"/>
        </w:r>
        <w:r w:rsidR="00694DB9">
          <w:rPr>
            <w:noProof/>
            <w:webHidden/>
          </w:rPr>
          <w:t>24</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92" w:history="1">
        <w:r w:rsidR="00694DB9" w:rsidRPr="007D6A91">
          <w:rPr>
            <w:rStyle w:val="Hipercze"/>
            <w:rFonts w:asciiTheme="majorHAnsi" w:hAnsiTheme="majorHAnsi"/>
            <w:noProof/>
          </w:rPr>
          <w:t>5.1.</w:t>
        </w:r>
        <w:r w:rsidR="00694DB9">
          <w:rPr>
            <w:rFonts w:asciiTheme="minorHAnsi" w:eastAsiaTheme="minorEastAsia" w:hAnsiTheme="minorHAnsi" w:cstheme="minorBidi"/>
            <w:noProof/>
            <w:lang w:eastAsia="pl-PL"/>
          </w:rPr>
          <w:tab/>
        </w:r>
        <w:r w:rsidR="00694DB9" w:rsidRPr="007D6A91">
          <w:rPr>
            <w:rStyle w:val="Hipercze"/>
            <w:noProof/>
          </w:rPr>
          <w:t>Analiza wykonalności</w:t>
        </w:r>
        <w:r w:rsidR="00694DB9">
          <w:rPr>
            <w:noProof/>
            <w:webHidden/>
          </w:rPr>
          <w:tab/>
        </w:r>
        <w:r w:rsidR="00694DB9">
          <w:rPr>
            <w:noProof/>
            <w:webHidden/>
          </w:rPr>
          <w:fldChar w:fldCharType="begin"/>
        </w:r>
        <w:r w:rsidR="00694DB9">
          <w:rPr>
            <w:noProof/>
            <w:webHidden/>
          </w:rPr>
          <w:instrText xml:space="preserve"> PAGEREF _Toc514928892 \h </w:instrText>
        </w:r>
        <w:r w:rsidR="00694DB9">
          <w:rPr>
            <w:noProof/>
            <w:webHidden/>
          </w:rPr>
        </w:r>
        <w:r w:rsidR="00694DB9">
          <w:rPr>
            <w:noProof/>
            <w:webHidden/>
          </w:rPr>
          <w:fldChar w:fldCharType="separate"/>
        </w:r>
        <w:r w:rsidR="00694DB9">
          <w:rPr>
            <w:noProof/>
            <w:webHidden/>
          </w:rPr>
          <w:t>25</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93" w:history="1">
        <w:r w:rsidR="00694DB9" w:rsidRPr="007D6A91">
          <w:rPr>
            <w:rStyle w:val="Hipercze"/>
            <w:rFonts w:asciiTheme="majorHAnsi" w:hAnsiTheme="majorHAnsi"/>
            <w:noProof/>
          </w:rPr>
          <w:t>5.2.</w:t>
        </w:r>
        <w:r w:rsidR="00694DB9">
          <w:rPr>
            <w:rFonts w:asciiTheme="minorHAnsi" w:eastAsiaTheme="minorEastAsia" w:hAnsiTheme="minorHAnsi" w:cstheme="minorBidi"/>
            <w:noProof/>
            <w:lang w:eastAsia="pl-PL"/>
          </w:rPr>
          <w:tab/>
        </w:r>
        <w:r w:rsidR="00694DB9" w:rsidRPr="007D6A91">
          <w:rPr>
            <w:rStyle w:val="Hipercze"/>
            <w:noProof/>
          </w:rPr>
          <w:t>Analiza popytu</w:t>
        </w:r>
        <w:r w:rsidR="00694DB9">
          <w:rPr>
            <w:noProof/>
            <w:webHidden/>
          </w:rPr>
          <w:tab/>
        </w:r>
        <w:r w:rsidR="00694DB9">
          <w:rPr>
            <w:noProof/>
            <w:webHidden/>
          </w:rPr>
          <w:fldChar w:fldCharType="begin"/>
        </w:r>
        <w:r w:rsidR="00694DB9">
          <w:rPr>
            <w:noProof/>
            <w:webHidden/>
          </w:rPr>
          <w:instrText xml:space="preserve"> PAGEREF _Toc514928893 \h </w:instrText>
        </w:r>
        <w:r w:rsidR="00694DB9">
          <w:rPr>
            <w:noProof/>
            <w:webHidden/>
          </w:rPr>
        </w:r>
        <w:r w:rsidR="00694DB9">
          <w:rPr>
            <w:noProof/>
            <w:webHidden/>
          </w:rPr>
          <w:fldChar w:fldCharType="separate"/>
        </w:r>
        <w:r w:rsidR="00694DB9">
          <w:rPr>
            <w:noProof/>
            <w:webHidden/>
          </w:rPr>
          <w:t>25</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94" w:history="1">
        <w:r w:rsidR="00694DB9" w:rsidRPr="007D6A91">
          <w:rPr>
            <w:rStyle w:val="Hipercze"/>
            <w:rFonts w:asciiTheme="majorHAnsi" w:hAnsiTheme="majorHAnsi"/>
            <w:noProof/>
          </w:rPr>
          <w:t>5.3.</w:t>
        </w:r>
        <w:r w:rsidR="00694DB9">
          <w:rPr>
            <w:rFonts w:asciiTheme="minorHAnsi" w:eastAsiaTheme="minorEastAsia" w:hAnsiTheme="minorHAnsi" w:cstheme="minorBidi"/>
            <w:noProof/>
            <w:lang w:eastAsia="pl-PL"/>
          </w:rPr>
          <w:tab/>
        </w:r>
        <w:r w:rsidR="00694DB9" w:rsidRPr="007D6A91">
          <w:rPr>
            <w:rStyle w:val="Hipercze"/>
            <w:noProof/>
          </w:rPr>
          <w:t>Analiza opcji (rozwiązań alternatywnych)</w:t>
        </w:r>
        <w:r w:rsidR="00694DB9">
          <w:rPr>
            <w:noProof/>
            <w:webHidden/>
          </w:rPr>
          <w:tab/>
        </w:r>
        <w:r w:rsidR="00694DB9">
          <w:rPr>
            <w:noProof/>
            <w:webHidden/>
          </w:rPr>
          <w:fldChar w:fldCharType="begin"/>
        </w:r>
        <w:r w:rsidR="00694DB9">
          <w:rPr>
            <w:noProof/>
            <w:webHidden/>
          </w:rPr>
          <w:instrText xml:space="preserve"> PAGEREF _Toc514928894 \h </w:instrText>
        </w:r>
        <w:r w:rsidR="00694DB9">
          <w:rPr>
            <w:noProof/>
            <w:webHidden/>
          </w:rPr>
        </w:r>
        <w:r w:rsidR="00694DB9">
          <w:rPr>
            <w:noProof/>
            <w:webHidden/>
          </w:rPr>
          <w:fldChar w:fldCharType="separate"/>
        </w:r>
        <w:r w:rsidR="00694DB9">
          <w:rPr>
            <w:noProof/>
            <w:webHidden/>
          </w:rPr>
          <w:t>26</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95" w:history="1">
        <w:r w:rsidR="00694DB9" w:rsidRPr="007D6A91">
          <w:rPr>
            <w:rStyle w:val="Hipercze"/>
            <w:rFonts w:asciiTheme="majorHAnsi" w:hAnsiTheme="majorHAnsi"/>
            <w:noProof/>
          </w:rPr>
          <w:t>5.4.</w:t>
        </w:r>
        <w:r w:rsidR="00694DB9">
          <w:rPr>
            <w:rFonts w:asciiTheme="minorHAnsi" w:eastAsiaTheme="minorEastAsia" w:hAnsiTheme="minorHAnsi" w:cstheme="minorBidi"/>
            <w:noProof/>
            <w:lang w:eastAsia="pl-PL"/>
          </w:rPr>
          <w:tab/>
        </w:r>
        <w:r w:rsidR="00694DB9" w:rsidRPr="007D6A91">
          <w:rPr>
            <w:rStyle w:val="Hipercze"/>
            <w:noProof/>
          </w:rPr>
          <w:t>Zastosowane rozwiązanie</w:t>
        </w:r>
        <w:r w:rsidR="00694DB9">
          <w:rPr>
            <w:noProof/>
            <w:webHidden/>
          </w:rPr>
          <w:tab/>
        </w:r>
        <w:r w:rsidR="00694DB9">
          <w:rPr>
            <w:noProof/>
            <w:webHidden/>
          </w:rPr>
          <w:fldChar w:fldCharType="begin"/>
        </w:r>
        <w:r w:rsidR="00694DB9">
          <w:rPr>
            <w:noProof/>
            <w:webHidden/>
          </w:rPr>
          <w:instrText xml:space="preserve"> PAGEREF _Toc514928895 \h </w:instrText>
        </w:r>
        <w:r w:rsidR="00694DB9">
          <w:rPr>
            <w:noProof/>
            <w:webHidden/>
          </w:rPr>
        </w:r>
        <w:r w:rsidR="00694DB9">
          <w:rPr>
            <w:noProof/>
            <w:webHidden/>
          </w:rPr>
          <w:fldChar w:fldCharType="separate"/>
        </w:r>
        <w:r w:rsidR="00694DB9">
          <w:rPr>
            <w:noProof/>
            <w:webHidden/>
          </w:rPr>
          <w:t>33</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896" w:history="1">
        <w:r w:rsidR="00694DB9" w:rsidRPr="007D6A91">
          <w:rPr>
            <w:rStyle w:val="Hipercze"/>
            <w:noProof/>
          </w:rPr>
          <w:t>6.</w:t>
        </w:r>
        <w:r w:rsidR="00694DB9">
          <w:rPr>
            <w:rFonts w:asciiTheme="minorHAnsi" w:eastAsiaTheme="minorEastAsia" w:hAnsiTheme="minorHAnsi" w:cstheme="minorBidi"/>
            <w:noProof/>
            <w:lang w:eastAsia="pl-PL"/>
          </w:rPr>
          <w:tab/>
        </w:r>
        <w:r w:rsidR="00694DB9" w:rsidRPr="007D6A91">
          <w:rPr>
            <w:rStyle w:val="Hipercze"/>
            <w:noProof/>
          </w:rPr>
          <w:t>Analiza finansowa</w:t>
        </w:r>
        <w:r w:rsidR="00694DB9">
          <w:rPr>
            <w:noProof/>
            <w:webHidden/>
          </w:rPr>
          <w:tab/>
        </w:r>
        <w:r w:rsidR="00694DB9">
          <w:rPr>
            <w:noProof/>
            <w:webHidden/>
          </w:rPr>
          <w:fldChar w:fldCharType="begin"/>
        </w:r>
        <w:r w:rsidR="00694DB9">
          <w:rPr>
            <w:noProof/>
            <w:webHidden/>
          </w:rPr>
          <w:instrText xml:space="preserve"> PAGEREF _Toc514928896 \h </w:instrText>
        </w:r>
        <w:r w:rsidR="00694DB9">
          <w:rPr>
            <w:noProof/>
            <w:webHidden/>
          </w:rPr>
        </w:r>
        <w:r w:rsidR="00694DB9">
          <w:rPr>
            <w:noProof/>
            <w:webHidden/>
          </w:rPr>
          <w:fldChar w:fldCharType="separate"/>
        </w:r>
        <w:r w:rsidR="00694DB9">
          <w:rPr>
            <w:noProof/>
            <w:webHidden/>
          </w:rPr>
          <w:t>33</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97" w:history="1">
        <w:r w:rsidR="00694DB9" w:rsidRPr="007D6A91">
          <w:rPr>
            <w:rStyle w:val="Hipercze"/>
            <w:rFonts w:asciiTheme="majorHAnsi" w:hAnsiTheme="majorHAnsi"/>
            <w:noProof/>
          </w:rPr>
          <w:t>6.1.</w:t>
        </w:r>
        <w:r w:rsidR="00694DB9">
          <w:rPr>
            <w:rFonts w:asciiTheme="minorHAnsi" w:eastAsiaTheme="minorEastAsia" w:hAnsiTheme="minorHAnsi" w:cstheme="minorBidi"/>
            <w:noProof/>
            <w:lang w:eastAsia="pl-PL"/>
          </w:rPr>
          <w:tab/>
        </w:r>
        <w:r w:rsidR="00694DB9" w:rsidRPr="007D6A91">
          <w:rPr>
            <w:rStyle w:val="Hipercze"/>
            <w:noProof/>
          </w:rPr>
          <w:t>Nakłady inwestycyjne</w:t>
        </w:r>
        <w:r w:rsidR="00694DB9">
          <w:rPr>
            <w:noProof/>
            <w:webHidden/>
          </w:rPr>
          <w:tab/>
        </w:r>
        <w:r w:rsidR="00694DB9">
          <w:rPr>
            <w:noProof/>
            <w:webHidden/>
          </w:rPr>
          <w:fldChar w:fldCharType="begin"/>
        </w:r>
        <w:r w:rsidR="00694DB9">
          <w:rPr>
            <w:noProof/>
            <w:webHidden/>
          </w:rPr>
          <w:instrText xml:space="preserve"> PAGEREF _Toc514928897 \h </w:instrText>
        </w:r>
        <w:r w:rsidR="00694DB9">
          <w:rPr>
            <w:noProof/>
            <w:webHidden/>
          </w:rPr>
        </w:r>
        <w:r w:rsidR="00694DB9">
          <w:rPr>
            <w:noProof/>
            <w:webHidden/>
          </w:rPr>
          <w:fldChar w:fldCharType="separate"/>
        </w:r>
        <w:r w:rsidR="00694DB9">
          <w:rPr>
            <w:noProof/>
            <w:webHidden/>
          </w:rPr>
          <w:t>34</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98" w:history="1">
        <w:r w:rsidR="00694DB9" w:rsidRPr="007D6A91">
          <w:rPr>
            <w:rStyle w:val="Hipercze"/>
            <w:rFonts w:asciiTheme="majorHAnsi" w:hAnsiTheme="majorHAnsi"/>
            <w:noProof/>
          </w:rPr>
          <w:t>6.2.</w:t>
        </w:r>
        <w:r w:rsidR="00694DB9">
          <w:rPr>
            <w:rFonts w:asciiTheme="minorHAnsi" w:eastAsiaTheme="minorEastAsia" w:hAnsiTheme="minorHAnsi" w:cstheme="minorBidi"/>
            <w:noProof/>
            <w:lang w:eastAsia="pl-PL"/>
          </w:rPr>
          <w:tab/>
        </w:r>
        <w:r w:rsidR="00694DB9" w:rsidRPr="007D6A91">
          <w:rPr>
            <w:rStyle w:val="Hipercze"/>
            <w:noProof/>
          </w:rPr>
          <w:t>Ogólna metodyka przeprowadzania analizy finansowej</w:t>
        </w:r>
        <w:r w:rsidR="00694DB9">
          <w:rPr>
            <w:noProof/>
            <w:webHidden/>
          </w:rPr>
          <w:tab/>
        </w:r>
        <w:r w:rsidR="00694DB9">
          <w:rPr>
            <w:noProof/>
            <w:webHidden/>
          </w:rPr>
          <w:fldChar w:fldCharType="begin"/>
        </w:r>
        <w:r w:rsidR="00694DB9">
          <w:rPr>
            <w:noProof/>
            <w:webHidden/>
          </w:rPr>
          <w:instrText xml:space="preserve"> PAGEREF _Toc514928898 \h </w:instrText>
        </w:r>
        <w:r w:rsidR="00694DB9">
          <w:rPr>
            <w:noProof/>
            <w:webHidden/>
          </w:rPr>
        </w:r>
        <w:r w:rsidR="00694DB9">
          <w:rPr>
            <w:noProof/>
            <w:webHidden/>
          </w:rPr>
          <w:fldChar w:fldCharType="separate"/>
        </w:r>
        <w:r w:rsidR="00694DB9">
          <w:rPr>
            <w:noProof/>
            <w:webHidden/>
          </w:rPr>
          <w:t>34</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899" w:history="1">
        <w:r w:rsidR="00694DB9" w:rsidRPr="007D6A91">
          <w:rPr>
            <w:rStyle w:val="Hipercze"/>
            <w:rFonts w:asciiTheme="majorHAnsi" w:hAnsiTheme="majorHAnsi"/>
            <w:noProof/>
          </w:rPr>
          <w:t>6.3.</w:t>
        </w:r>
        <w:r w:rsidR="00694DB9">
          <w:rPr>
            <w:rFonts w:asciiTheme="minorHAnsi" w:eastAsiaTheme="minorEastAsia" w:hAnsiTheme="minorHAnsi" w:cstheme="minorBidi"/>
            <w:noProof/>
            <w:lang w:eastAsia="pl-PL"/>
          </w:rPr>
          <w:tab/>
        </w:r>
        <w:r w:rsidR="00694DB9" w:rsidRPr="007D6A91">
          <w:rPr>
            <w:rStyle w:val="Hipercze"/>
            <w:noProof/>
          </w:rPr>
          <w:t>Założenia do analizy finansowej</w:t>
        </w:r>
        <w:r w:rsidR="00694DB9">
          <w:rPr>
            <w:noProof/>
            <w:webHidden/>
          </w:rPr>
          <w:tab/>
        </w:r>
        <w:r w:rsidR="00694DB9">
          <w:rPr>
            <w:noProof/>
            <w:webHidden/>
          </w:rPr>
          <w:fldChar w:fldCharType="begin"/>
        </w:r>
        <w:r w:rsidR="00694DB9">
          <w:rPr>
            <w:noProof/>
            <w:webHidden/>
          </w:rPr>
          <w:instrText xml:space="preserve"> PAGEREF _Toc514928899 \h </w:instrText>
        </w:r>
        <w:r w:rsidR="00694DB9">
          <w:rPr>
            <w:noProof/>
            <w:webHidden/>
          </w:rPr>
        </w:r>
        <w:r w:rsidR="00694DB9">
          <w:rPr>
            <w:noProof/>
            <w:webHidden/>
          </w:rPr>
          <w:fldChar w:fldCharType="separate"/>
        </w:r>
        <w:r w:rsidR="00694DB9">
          <w:rPr>
            <w:noProof/>
            <w:webHidden/>
          </w:rPr>
          <w:t>35</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900" w:history="1">
        <w:r w:rsidR="00694DB9" w:rsidRPr="007D6A91">
          <w:rPr>
            <w:rStyle w:val="Hipercze"/>
            <w:rFonts w:asciiTheme="majorHAnsi" w:hAnsiTheme="majorHAnsi"/>
            <w:noProof/>
          </w:rPr>
          <w:t>6.4.</w:t>
        </w:r>
        <w:r w:rsidR="00694DB9">
          <w:rPr>
            <w:rFonts w:asciiTheme="minorHAnsi" w:eastAsiaTheme="minorEastAsia" w:hAnsiTheme="minorHAnsi" w:cstheme="minorBidi"/>
            <w:noProof/>
            <w:lang w:eastAsia="pl-PL"/>
          </w:rPr>
          <w:tab/>
        </w:r>
        <w:r w:rsidR="00694DB9" w:rsidRPr="007D6A91">
          <w:rPr>
            <w:rStyle w:val="Hipercze"/>
            <w:noProof/>
          </w:rPr>
          <w:t>Określenie przychodów</w:t>
        </w:r>
        <w:r w:rsidR="00694DB9">
          <w:rPr>
            <w:noProof/>
            <w:webHidden/>
          </w:rPr>
          <w:tab/>
        </w:r>
        <w:r w:rsidR="00694DB9">
          <w:rPr>
            <w:noProof/>
            <w:webHidden/>
          </w:rPr>
          <w:fldChar w:fldCharType="begin"/>
        </w:r>
        <w:r w:rsidR="00694DB9">
          <w:rPr>
            <w:noProof/>
            <w:webHidden/>
          </w:rPr>
          <w:instrText xml:space="preserve"> PAGEREF _Toc514928900 \h </w:instrText>
        </w:r>
        <w:r w:rsidR="00694DB9">
          <w:rPr>
            <w:noProof/>
            <w:webHidden/>
          </w:rPr>
        </w:r>
        <w:r w:rsidR="00694DB9">
          <w:rPr>
            <w:noProof/>
            <w:webHidden/>
          </w:rPr>
          <w:fldChar w:fldCharType="separate"/>
        </w:r>
        <w:r w:rsidR="00694DB9">
          <w:rPr>
            <w:noProof/>
            <w:webHidden/>
          </w:rPr>
          <w:t>37</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901" w:history="1">
        <w:r w:rsidR="00694DB9" w:rsidRPr="007D6A91">
          <w:rPr>
            <w:rStyle w:val="Hipercze"/>
            <w:rFonts w:asciiTheme="majorHAnsi" w:hAnsiTheme="majorHAnsi"/>
            <w:noProof/>
          </w:rPr>
          <w:t>6.5.</w:t>
        </w:r>
        <w:r w:rsidR="00694DB9">
          <w:rPr>
            <w:rFonts w:asciiTheme="minorHAnsi" w:eastAsiaTheme="minorEastAsia" w:hAnsiTheme="minorHAnsi" w:cstheme="minorBidi"/>
            <w:noProof/>
            <w:lang w:eastAsia="pl-PL"/>
          </w:rPr>
          <w:tab/>
        </w:r>
        <w:r w:rsidR="00694DB9" w:rsidRPr="007D6A91">
          <w:rPr>
            <w:rStyle w:val="Hipercze"/>
            <w:noProof/>
          </w:rPr>
          <w:t>Metoda luki w finansowaniu</w:t>
        </w:r>
        <w:r w:rsidR="00694DB9">
          <w:rPr>
            <w:noProof/>
            <w:webHidden/>
          </w:rPr>
          <w:tab/>
        </w:r>
        <w:r w:rsidR="00694DB9">
          <w:rPr>
            <w:noProof/>
            <w:webHidden/>
          </w:rPr>
          <w:fldChar w:fldCharType="begin"/>
        </w:r>
        <w:r w:rsidR="00694DB9">
          <w:rPr>
            <w:noProof/>
            <w:webHidden/>
          </w:rPr>
          <w:instrText xml:space="preserve"> PAGEREF _Toc514928901 \h </w:instrText>
        </w:r>
        <w:r w:rsidR="00694DB9">
          <w:rPr>
            <w:noProof/>
            <w:webHidden/>
          </w:rPr>
        </w:r>
        <w:r w:rsidR="00694DB9">
          <w:rPr>
            <w:noProof/>
            <w:webHidden/>
          </w:rPr>
          <w:fldChar w:fldCharType="separate"/>
        </w:r>
        <w:r w:rsidR="00694DB9">
          <w:rPr>
            <w:noProof/>
            <w:webHidden/>
          </w:rPr>
          <w:t>39</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902" w:history="1">
        <w:r w:rsidR="00694DB9" w:rsidRPr="007D6A91">
          <w:rPr>
            <w:rStyle w:val="Hipercze"/>
            <w:rFonts w:asciiTheme="majorHAnsi" w:hAnsiTheme="majorHAnsi"/>
            <w:noProof/>
          </w:rPr>
          <w:t>6.6.</w:t>
        </w:r>
        <w:r w:rsidR="00694DB9">
          <w:rPr>
            <w:rFonts w:asciiTheme="minorHAnsi" w:eastAsiaTheme="minorEastAsia" w:hAnsiTheme="minorHAnsi" w:cstheme="minorBidi"/>
            <w:noProof/>
            <w:lang w:eastAsia="pl-PL"/>
          </w:rPr>
          <w:tab/>
        </w:r>
        <w:r w:rsidR="00694DB9" w:rsidRPr="007D6A91">
          <w:rPr>
            <w:rStyle w:val="Hipercze"/>
            <w:noProof/>
          </w:rPr>
          <w:t>Metoda zryczałtowanych procentowych stawek dochodów</w:t>
        </w:r>
        <w:r w:rsidR="00694DB9">
          <w:rPr>
            <w:noProof/>
            <w:webHidden/>
          </w:rPr>
          <w:tab/>
        </w:r>
        <w:r w:rsidR="00694DB9">
          <w:rPr>
            <w:noProof/>
            <w:webHidden/>
          </w:rPr>
          <w:fldChar w:fldCharType="begin"/>
        </w:r>
        <w:r w:rsidR="00694DB9">
          <w:rPr>
            <w:noProof/>
            <w:webHidden/>
          </w:rPr>
          <w:instrText xml:space="preserve"> PAGEREF _Toc514928902 \h </w:instrText>
        </w:r>
        <w:r w:rsidR="00694DB9">
          <w:rPr>
            <w:noProof/>
            <w:webHidden/>
          </w:rPr>
        </w:r>
        <w:r w:rsidR="00694DB9">
          <w:rPr>
            <w:noProof/>
            <w:webHidden/>
          </w:rPr>
          <w:fldChar w:fldCharType="separate"/>
        </w:r>
        <w:r w:rsidR="00694DB9">
          <w:rPr>
            <w:noProof/>
            <w:webHidden/>
          </w:rPr>
          <w:t>41</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903" w:history="1">
        <w:r w:rsidR="00694DB9" w:rsidRPr="007D6A91">
          <w:rPr>
            <w:rStyle w:val="Hipercze"/>
            <w:rFonts w:asciiTheme="majorHAnsi" w:hAnsiTheme="majorHAnsi"/>
            <w:noProof/>
          </w:rPr>
          <w:t>6.7.</w:t>
        </w:r>
        <w:r w:rsidR="00694DB9">
          <w:rPr>
            <w:rFonts w:asciiTheme="minorHAnsi" w:eastAsiaTheme="minorEastAsia" w:hAnsiTheme="minorHAnsi" w:cstheme="minorBidi"/>
            <w:noProof/>
            <w:lang w:eastAsia="pl-PL"/>
          </w:rPr>
          <w:tab/>
        </w:r>
        <w:r w:rsidR="00694DB9" w:rsidRPr="007D6A91">
          <w:rPr>
            <w:rStyle w:val="Hipercze"/>
            <w:noProof/>
          </w:rPr>
          <w:t>Wskaźniki efektywności finansowej</w:t>
        </w:r>
        <w:r w:rsidR="00694DB9">
          <w:rPr>
            <w:noProof/>
            <w:webHidden/>
          </w:rPr>
          <w:tab/>
        </w:r>
        <w:r w:rsidR="00694DB9">
          <w:rPr>
            <w:noProof/>
            <w:webHidden/>
          </w:rPr>
          <w:fldChar w:fldCharType="begin"/>
        </w:r>
        <w:r w:rsidR="00694DB9">
          <w:rPr>
            <w:noProof/>
            <w:webHidden/>
          </w:rPr>
          <w:instrText xml:space="preserve"> PAGEREF _Toc514928903 \h </w:instrText>
        </w:r>
        <w:r w:rsidR="00694DB9">
          <w:rPr>
            <w:noProof/>
            <w:webHidden/>
          </w:rPr>
        </w:r>
        <w:r w:rsidR="00694DB9">
          <w:rPr>
            <w:noProof/>
            <w:webHidden/>
          </w:rPr>
          <w:fldChar w:fldCharType="separate"/>
        </w:r>
        <w:r w:rsidR="00694DB9">
          <w:rPr>
            <w:noProof/>
            <w:webHidden/>
          </w:rPr>
          <w:t>43</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904" w:history="1">
        <w:r w:rsidR="00694DB9" w:rsidRPr="007D6A91">
          <w:rPr>
            <w:rStyle w:val="Hipercze"/>
            <w:rFonts w:asciiTheme="majorHAnsi" w:hAnsiTheme="majorHAnsi"/>
            <w:noProof/>
          </w:rPr>
          <w:t>6.8.</w:t>
        </w:r>
        <w:r w:rsidR="00694DB9">
          <w:rPr>
            <w:rFonts w:asciiTheme="minorHAnsi" w:eastAsiaTheme="minorEastAsia" w:hAnsiTheme="minorHAnsi" w:cstheme="minorBidi"/>
            <w:noProof/>
            <w:lang w:eastAsia="pl-PL"/>
          </w:rPr>
          <w:tab/>
        </w:r>
        <w:r w:rsidR="00694DB9" w:rsidRPr="007D6A91">
          <w:rPr>
            <w:rStyle w:val="Hipercze"/>
            <w:noProof/>
          </w:rPr>
          <w:t>Analiza trwałości finansowej</w:t>
        </w:r>
        <w:r w:rsidR="00694DB9">
          <w:rPr>
            <w:noProof/>
            <w:webHidden/>
          </w:rPr>
          <w:tab/>
        </w:r>
        <w:r w:rsidR="00694DB9">
          <w:rPr>
            <w:noProof/>
            <w:webHidden/>
          </w:rPr>
          <w:fldChar w:fldCharType="begin"/>
        </w:r>
        <w:r w:rsidR="00694DB9">
          <w:rPr>
            <w:noProof/>
            <w:webHidden/>
          </w:rPr>
          <w:instrText xml:space="preserve"> PAGEREF _Toc514928904 \h </w:instrText>
        </w:r>
        <w:r w:rsidR="00694DB9">
          <w:rPr>
            <w:noProof/>
            <w:webHidden/>
          </w:rPr>
        </w:r>
        <w:r w:rsidR="00694DB9">
          <w:rPr>
            <w:noProof/>
            <w:webHidden/>
          </w:rPr>
          <w:fldChar w:fldCharType="separate"/>
        </w:r>
        <w:r w:rsidR="00694DB9">
          <w:rPr>
            <w:noProof/>
            <w:webHidden/>
          </w:rPr>
          <w:t>44</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905" w:history="1">
        <w:r w:rsidR="00694DB9" w:rsidRPr="007D6A91">
          <w:rPr>
            <w:rStyle w:val="Hipercze"/>
            <w:noProof/>
          </w:rPr>
          <w:t>7.</w:t>
        </w:r>
        <w:r w:rsidR="00694DB9">
          <w:rPr>
            <w:rFonts w:asciiTheme="minorHAnsi" w:eastAsiaTheme="minorEastAsia" w:hAnsiTheme="minorHAnsi" w:cstheme="minorBidi"/>
            <w:noProof/>
            <w:lang w:eastAsia="pl-PL"/>
          </w:rPr>
          <w:tab/>
        </w:r>
        <w:r w:rsidR="00694DB9" w:rsidRPr="007D6A91">
          <w:rPr>
            <w:rStyle w:val="Hipercze"/>
            <w:noProof/>
          </w:rPr>
          <w:t>Analiza kosztów i korzyści</w:t>
        </w:r>
        <w:r w:rsidR="00694DB9">
          <w:rPr>
            <w:noProof/>
            <w:webHidden/>
          </w:rPr>
          <w:tab/>
        </w:r>
        <w:r w:rsidR="00694DB9">
          <w:rPr>
            <w:noProof/>
            <w:webHidden/>
          </w:rPr>
          <w:fldChar w:fldCharType="begin"/>
        </w:r>
        <w:r w:rsidR="00694DB9">
          <w:rPr>
            <w:noProof/>
            <w:webHidden/>
          </w:rPr>
          <w:instrText xml:space="preserve"> PAGEREF _Toc514928905 \h </w:instrText>
        </w:r>
        <w:r w:rsidR="00694DB9">
          <w:rPr>
            <w:noProof/>
            <w:webHidden/>
          </w:rPr>
        </w:r>
        <w:r w:rsidR="00694DB9">
          <w:rPr>
            <w:noProof/>
            <w:webHidden/>
          </w:rPr>
          <w:fldChar w:fldCharType="separate"/>
        </w:r>
        <w:r w:rsidR="00694DB9">
          <w:rPr>
            <w:noProof/>
            <w:webHidden/>
          </w:rPr>
          <w:t>45</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906" w:history="1">
        <w:r w:rsidR="00694DB9" w:rsidRPr="007D6A91">
          <w:rPr>
            <w:rStyle w:val="Hipercze"/>
            <w:noProof/>
          </w:rPr>
          <w:t>8.</w:t>
        </w:r>
        <w:r w:rsidR="00694DB9">
          <w:rPr>
            <w:rFonts w:asciiTheme="minorHAnsi" w:eastAsiaTheme="minorEastAsia" w:hAnsiTheme="minorHAnsi" w:cstheme="minorBidi"/>
            <w:noProof/>
            <w:lang w:eastAsia="pl-PL"/>
          </w:rPr>
          <w:tab/>
        </w:r>
        <w:r w:rsidR="00694DB9" w:rsidRPr="007D6A91">
          <w:rPr>
            <w:rStyle w:val="Hipercze"/>
            <w:noProof/>
          </w:rPr>
          <w:t>Analiza wrażliwości i ryzyka</w:t>
        </w:r>
        <w:r w:rsidR="00694DB9">
          <w:rPr>
            <w:noProof/>
            <w:webHidden/>
          </w:rPr>
          <w:tab/>
        </w:r>
        <w:r w:rsidR="00694DB9">
          <w:rPr>
            <w:noProof/>
            <w:webHidden/>
          </w:rPr>
          <w:fldChar w:fldCharType="begin"/>
        </w:r>
        <w:r w:rsidR="00694DB9">
          <w:rPr>
            <w:noProof/>
            <w:webHidden/>
          </w:rPr>
          <w:instrText xml:space="preserve"> PAGEREF _Toc514928906 \h </w:instrText>
        </w:r>
        <w:r w:rsidR="00694DB9">
          <w:rPr>
            <w:noProof/>
            <w:webHidden/>
          </w:rPr>
        </w:r>
        <w:r w:rsidR="00694DB9">
          <w:rPr>
            <w:noProof/>
            <w:webHidden/>
          </w:rPr>
          <w:fldChar w:fldCharType="separate"/>
        </w:r>
        <w:r w:rsidR="00694DB9">
          <w:rPr>
            <w:noProof/>
            <w:webHidden/>
          </w:rPr>
          <w:t>46</w:t>
        </w:r>
        <w:r w:rsidR="00694DB9">
          <w:rPr>
            <w:noProof/>
            <w:webHidden/>
          </w:rPr>
          <w:fldChar w:fldCharType="end"/>
        </w:r>
      </w:hyperlink>
    </w:p>
    <w:p w:rsidR="00694DB9" w:rsidRDefault="006D794F">
      <w:pPr>
        <w:pStyle w:val="Spistreci1"/>
        <w:tabs>
          <w:tab w:val="left" w:pos="440"/>
          <w:tab w:val="right" w:leader="dot" w:pos="10456"/>
        </w:tabs>
        <w:rPr>
          <w:rFonts w:asciiTheme="minorHAnsi" w:eastAsiaTheme="minorEastAsia" w:hAnsiTheme="minorHAnsi" w:cstheme="minorBidi"/>
          <w:noProof/>
          <w:lang w:eastAsia="pl-PL"/>
        </w:rPr>
      </w:pPr>
      <w:hyperlink w:anchor="_Toc514928907" w:history="1">
        <w:r w:rsidR="00694DB9" w:rsidRPr="007D6A91">
          <w:rPr>
            <w:rStyle w:val="Hipercze"/>
            <w:noProof/>
          </w:rPr>
          <w:t>9.</w:t>
        </w:r>
        <w:r w:rsidR="00694DB9">
          <w:rPr>
            <w:rFonts w:asciiTheme="minorHAnsi" w:eastAsiaTheme="minorEastAsia" w:hAnsiTheme="minorHAnsi" w:cstheme="minorBidi"/>
            <w:noProof/>
            <w:lang w:eastAsia="pl-PL"/>
          </w:rPr>
          <w:tab/>
        </w:r>
        <w:r w:rsidR="00694DB9" w:rsidRPr="007D6A91">
          <w:rPr>
            <w:rStyle w:val="Hipercze"/>
            <w:noProof/>
          </w:rPr>
          <w:t>Analizy i informacje specyficzne dla danego rodzaju projektu lub sektora</w:t>
        </w:r>
        <w:r w:rsidR="00694DB9">
          <w:rPr>
            <w:noProof/>
            <w:webHidden/>
          </w:rPr>
          <w:tab/>
        </w:r>
        <w:r w:rsidR="00694DB9">
          <w:rPr>
            <w:noProof/>
            <w:webHidden/>
          </w:rPr>
          <w:fldChar w:fldCharType="begin"/>
        </w:r>
        <w:r w:rsidR="00694DB9">
          <w:rPr>
            <w:noProof/>
            <w:webHidden/>
          </w:rPr>
          <w:instrText xml:space="preserve"> PAGEREF _Toc514928907 \h </w:instrText>
        </w:r>
        <w:r w:rsidR="00694DB9">
          <w:rPr>
            <w:noProof/>
            <w:webHidden/>
          </w:rPr>
        </w:r>
        <w:r w:rsidR="00694DB9">
          <w:rPr>
            <w:noProof/>
            <w:webHidden/>
          </w:rPr>
          <w:fldChar w:fldCharType="separate"/>
        </w:r>
        <w:r w:rsidR="00694DB9">
          <w:rPr>
            <w:noProof/>
            <w:webHidden/>
          </w:rPr>
          <w:t>46</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908" w:history="1">
        <w:r w:rsidR="00694DB9" w:rsidRPr="007D6A91">
          <w:rPr>
            <w:rStyle w:val="Hipercze"/>
            <w:rFonts w:asciiTheme="majorHAnsi" w:hAnsiTheme="majorHAnsi" w:cstheme="minorHAnsi"/>
            <w:noProof/>
          </w:rPr>
          <w:t>9.1.</w:t>
        </w:r>
        <w:r w:rsidR="00694DB9">
          <w:rPr>
            <w:rFonts w:asciiTheme="minorHAnsi" w:eastAsiaTheme="minorEastAsia" w:hAnsiTheme="minorHAnsi" w:cstheme="minorBidi"/>
            <w:noProof/>
            <w:lang w:eastAsia="pl-PL"/>
          </w:rPr>
          <w:tab/>
        </w:r>
        <w:r w:rsidR="00694DB9" w:rsidRPr="007D6A91">
          <w:rPr>
            <w:rStyle w:val="Hipercze"/>
            <w:rFonts w:asciiTheme="majorHAnsi" w:hAnsiTheme="majorHAnsi" w:cstheme="minorHAnsi"/>
            <w:noProof/>
          </w:rPr>
          <w:t>Kryteria oceny merytorycznej projektu  - dopuszczające sektorowe  w ramach Działanie 2.2 - Tworzenie nowych terenów inwestycyjnych.</w:t>
        </w:r>
        <w:r w:rsidR="00694DB9">
          <w:rPr>
            <w:noProof/>
            <w:webHidden/>
          </w:rPr>
          <w:tab/>
        </w:r>
        <w:r w:rsidR="00694DB9">
          <w:rPr>
            <w:noProof/>
            <w:webHidden/>
          </w:rPr>
          <w:fldChar w:fldCharType="begin"/>
        </w:r>
        <w:r w:rsidR="00694DB9">
          <w:rPr>
            <w:noProof/>
            <w:webHidden/>
          </w:rPr>
          <w:instrText xml:space="preserve"> PAGEREF _Toc514928908 \h </w:instrText>
        </w:r>
        <w:r w:rsidR="00694DB9">
          <w:rPr>
            <w:noProof/>
            <w:webHidden/>
          </w:rPr>
        </w:r>
        <w:r w:rsidR="00694DB9">
          <w:rPr>
            <w:noProof/>
            <w:webHidden/>
          </w:rPr>
          <w:fldChar w:fldCharType="separate"/>
        </w:r>
        <w:r w:rsidR="00694DB9">
          <w:rPr>
            <w:noProof/>
            <w:webHidden/>
          </w:rPr>
          <w:t>47</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909" w:history="1">
        <w:r w:rsidR="00694DB9" w:rsidRPr="00694DB9">
          <w:rPr>
            <w:rStyle w:val="Hipercze"/>
            <w:rFonts w:asciiTheme="majorHAnsi" w:hAnsiTheme="majorHAnsi"/>
            <w:noProof/>
          </w:rPr>
          <w:t>9.2.</w:t>
        </w:r>
        <w:r w:rsidR="00694DB9" w:rsidRPr="00694DB9">
          <w:rPr>
            <w:rFonts w:asciiTheme="minorHAnsi" w:eastAsiaTheme="minorEastAsia" w:hAnsiTheme="minorHAnsi" w:cstheme="minorBidi"/>
            <w:noProof/>
            <w:lang w:eastAsia="pl-PL"/>
          </w:rPr>
          <w:tab/>
        </w:r>
        <w:r w:rsidR="00694DB9" w:rsidRPr="00694DB9">
          <w:rPr>
            <w:rStyle w:val="Hipercze"/>
            <w:rFonts w:asciiTheme="majorHAnsi" w:hAnsiTheme="majorHAnsi"/>
            <w:noProof/>
          </w:rPr>
          <w:t>Kryteria punktowe</w:t>
        </w:r>
        <w:r w:rsidR="00694DB9">
          <w:rPr>
            <w:noProof/>
            <w:webHidden/>
          </w:rPr>
          <w:tab/>
        </w:r>
        <w:r w:rsidR="00694DB9">
          <w:rPr>
            <w:noProof/>
            <w:webHidden/>
          </w:rPr>
          <w:fldChar w:fldCharType="begin"/>
        </w:r>
        <w:r w:rsidR="00694DB9">
          <w:rPr>
            <w:noProof/>
            <w:webHidden/>
          </w:rPr>
          <w:instrText xml:space="preserve"> PAGEREF _Toc514928909 \h </w:instrText>
        </w:r>
        <w:r w:rsidR="00694DB9">
          <w:rPr>
            <w:noProof/>
            <w:webHidden/>
          </w:rPr>
        </w:r>
        <w:r w:rsidR="00694DB9">
          <w:rPr>
            <w:noProof/>
            <w:webHidden/>
          </w:rPr>
          <w:fldChar w:fldCharType="separate"/>
        </w:r>
        <w:r w:rsidR="00694DB9">
          <w:rPr>
            <w:noProof/>
            <w:webHidden/>
          </w:rPr>
          <w:t>48</w:t>
        </w:r>
        <w:r w:rsidR="00694DB9">
          <w:rPr>
            <w:noProof/>
            <w:webHidden/>
          </w:rPr>
          <w:fldChar w:fldCharType="end"/>
        </w:r>
      </w:hyperlink>
    </w:p>
    <w:p w:rsidR="00694DB9" w:rsidRDefault="006D794F">
      <w:pPr>
        <w:pStyle w:val="Spistreci2"/>
        <w:tabs>
          <w:tab w:val="left" w:pos="880"/>
          <w:tab w:val="right" w:leader="dot" w:pos="10456"/>
        </w:tabs>
        <w:rPr>
          <w:rFonts w:asciiTheme="minorHAnsi" w:eastAsiaTheme="minorEastAsia" w:hAnsiTheme="minorHAnsi" w:cstheme="minorBidi"/>
          <w:noProof/>
          <w:lang w:eastAsia="pl-PL"/>
        </w:rPr>
      </w:pPr>
      <w:hyperlink w:anchor="_Toc514928910" w:history="1">
        <w:r w:rsidR="00694DB9" w:rsidRPr="007D6A91">
          <w:rPr>
            <w:rStyle w:val="Hipercze"/>
            <w:rFonts w:asciiTheme="majorHAnsi" w:hAnsiTheme="majorHAnsi"/>
            <w:noProof/>
          </w:rPr>
          <w:t>9.3.</w:t>
        </w:r>
        <w:r w:rsidR="00694DB9">
          <w:rPr>
            <w:rFonts w:asciiTheme="minorHAnsi" w:eastAsiaTheme="minorEastAsia" w:hAnsiTheme="minorHAnsi" w:cstheme="minorBidi"/>
            <w:noProof/>
            <w:lang w:eastAsia="pl-PL"/>
          </w:rPr>
          <w:tab/>
        </w:r>
        <w:r w:rsidR="00694DB9" w:rsidRPr="007D6A91">
          <w:rPr>
            <w:rStyle w:val="Hipercze"/>
            <w:noProof/>
          </w:rPr>
          <w:t>Projekty hybrydowe</w:t>
        </w:r>
        <w:r w:rsidR="00694DB9">
          <w:rPr>
            <w:noProof/>
            <w:webHidden/>
          </w:rPr>
          <w:tab/>
        </w:r>
        <w:r w:rsidR="00694DB9">
          <w:rPr>
            <w:noProof/>
            <w:webHidden/>
          </w:rPr>
          <w:fldChar w:fldCharType="begin"/>
        </w:r>
        <w:r w:rsidR="00694DB9">
          <w:rPr>
            <w:noProof/>
            <w:webHidden/>
          </w:rPr>
          <w:instrText xml:space="preserve"> PAGEREF _Toc514928910 \h </w:instrText>
        </w:r>
        <w:r w:rsidR="00694DB9">
          <w:rPr>
            <w:noProof/>
            <w:webHidden/>
          </w:rPr>
        </w:r>
        <w:r w:rsidR="00694DB9">
          <w:rPr>
            <w:noProof/>
            <w:webHidden/>
          </w:rPr>
          <w:fldChar w:fldCharType="separate"/>
        </w:r>
        <w:r w:rsidR="00694DB9">
          <w:rPr>
            <w:noProof/>
            <w:webHidden/>
          </w:rPr>
          <w:t>48</w:t>
        </w:r>
        <w:r w:rsidR="00694DB9">
          <w:rPr>
            <w:noProof/>
            <w:webHidden/>
          </w:rPr>
          <w:fldChar w:fldCharType="end"/>
        </w:r>
      </w:hyperlink>
    </w:p>
    <w:p w:rsidR="00694DB9" w:rsidRDefault="006D794F">
      <w:pPr>
        <w:pStyle w:val="Spistreci1"/>
        <w:tabs>
          <w:tab w:val="left" w:pos="660"/>
          <w:tab w:val="right" w:leader="dot" w:pos="10456"/>
        </w:tabs>
        <w:rPr>
          <w:rFonts w:asciiTheme="minorHAnsi" w:eastAsiaTheme="minorEastAsia" w:hAnsiTheme="minorHAnsi" w:cstheme="minorBidi"/>
          <w:noProof/>
          <w:lang w:eastAsia="pl-PL"/>
        </w:rPr>
      </w:pPr>
      <w:hyperlink w:anchor="_Toc514928911" w:history="1">
        <w:r w:rsidR="00694DB9" w:rsidRPr="007D6A91">
          <w:rPr>
            <w:rStyle w:val="Hipercze"/>
            <w:noProof/>
          </w:rPr>
          <w:t>10.</w:t>
        </w:r>
        <w:r w:rsidR="00694DB9">
          <w:rPr>
            <w:rFonts w:asciiTheme="minorHAnsi" w:eastAsiaTheme="minorEastAsia" w:hAnsiTheme="minorHAnsi" w:cstheme="minorBidi"/>
            <w:noProof/>
            <w:lang w:eastAsia="pl-PL"/>
          </w:rPr>
          <w:tab/>
        </w:r>
        <w:r w:rsidR="00694DB9" w:rsidRPr="007D6A91">
          <w:rPr>
            <w:rStyle w:val="Hipercze"/>
            <w:noProof/>
          </w:rPr>
          <w:t>Analiza oddziaływania na środowisko</w:t>
        </w:r>
        <w:r w:rsidR="00694DB9">
          <w:rPr>
            <w:noProof/>
            <w:webHidden/>
          </w:rPr>
          <w:tab/>
        </w:r>
        <w:r w:rsidR="00694DB9">
          <w:rPr>
            <w:noProof/>
            <w:webHidden/>
          </w:rPr>
          <w:fldChar w:fldCharType="begin"/>
        </w:r>
        <w:r w:rsidR="00694DB9">
          <w:rPr>
            <w:noProof/>
            <w:webHidden/>
          </w:rPr>
          <w:instrText xml:space="preserve"> PAGEREF _Toc514928911 \h </w:instrText>
        </w:r>
        <w:r w:rsidR="00694DB9">
          <w:rPr>
            <w:noProof/>
            <w:webHidden/>
          </w:rPr>
        </w:r>
        <w:r w:rsidR="00694DB9">
          <w:rPr>
            <w:noProof/>
            <w:webHidden/>
          </w:rPr>
          <w:fldChar w:fldCharType="separate"/>
        </w:r>
        <w:r w:rsidR="00694DB9">
          <w:rPr>
            <w:noProof/>
            <w:webHidden/>
          </w:rPr>
          <w:t>49</w:t>
        </w:r>
        <w:r w:rsidR="00694DB9">
          <w:rPr>
            <w:noProof/>
            <w:webHidden/>
          </w:rPr>
          <w:fldChar w:fldCharType="end"/>
        </w:r>
      </w:hyperlink>
    </w:p>
    <w:p w:rsidR="00694DB9" w:rsidRDefault="006D794F">
      <w:pPr>
        <w:pStyle w:val="Spistreci2"/>
        <w:tabs>
          <w:tab w:val="left" w:pos="1100"/>
          <w:tab w:val="right" w:leader="dot" w:pos="10456"/>
        </w:tabs>
        <w:rPr>
          <w:rFonts w:asciiTheme="minorHAnsi" w:eastAsiaTheme="minorEastAsia" w:hAnsiTheme="minorHAnsi" w:cstheme="minorBidi"/>
          <w:noProof/>
          <w:lang w:eastAsia="pl-PL"/>
        </w:rPr>
      </w:pPr>
      <w:hyperlink w:anchor="_Toc514928912" w:history="1">
        <w:r w:rsidR="00694DB9" w:rsidRPr="007D6A91">
          <w:rPr>
            <w:rStyle w:val="Hipercze"/>
            <w:rFonts w:asciiTheme="majorHAnsi" w:hAnsiTheme="majorHAnsi"/>
            <w:noProof/>
          </w:rPr>
          <w:t>10.1.</w:t>
        </w:r>
        <w:r w:rsidR="00694DB9">
          <w:rPr>
            <w:rFonts w:asciiTheme="minorHAnsi" w:eastAsiaTheme="minorEastAsia" w:hAnsiTheme="minorHAnsi" w:cstheme="minorBidi"/>
            <w:noProof/>
            <w:lang w:eastAsia="pl-PL"/>
          </w:rPr>
          <w:tab/>
        </w:r>
        <w:r w:rsidR="00694DB9" w:rsidRPr="007D6A91">
          <w:rPr>
            <w:rStyle w:val="Hipercze"/>
            <w:noProof/>
          </w:rPr>
          <w:t>Ocena oddziaływania na środowisko</w:t>
        </w:r>
        <w:r w:rsidR="00694DB9">
          <w:rPr>
            <w:noProof/>
            <w:webHidden/>
          </w:rPr>
          <w:tab/>
        </w:r>
        <w:r w:rsidR="00694DB9">
          <w:rPr>
            <w:noProof/>
            <w:webHidden/>
          </w:rPr>
          <w:fldChar w:fldCharType="begin"/>
        </w:r>
        <w:r w:rsidR="00694DB9">
          <w:rPr>
            <w:noProof/>
            <w:webHidden/>
          </w:rPr>
          <w:instrText xml:space="preserve"> PAGEREF _Toc514928912 \h </w:instrText>
        </w:r>
        <w:r w:rsidR="00694DB9">
          <w:rPr>
            <w:noProof/>
            <w:webHidden/>
          </w:rPr>
        </w:r>
        <w:r w:rsidR="00694DB9">
          <w:rPr>
            <w:noProof/>
            <w:webHidden/>
          </w:rPr>
          <w:fldChar w:fldCharType="separate"/>
        </w:r>
        <w:r w:rsidR="00694DB9">
          <w:rPr>
            <w:noProof/>
            <w:webHidden/>
          </w:rPr>
          <w:t>49</w:t>
        </w:r>
        <w:r w:rsidR="00694DB9">
          <w:rPr>
            <w:noProof/>
            <w:webHidden/>
          </w:rPr>
          <w:fldChar w:fldCharType="end"/>
        </w:r>
      </w:hyperlink>
    </w:p>
    <w:p w:rsidR="00694DB9" w:rsidRDefault="006D794F">
      <w:pPr>
        <w:pStyle w:val="Spistreci2"/>
        <w:tabs>
          <w:tab w:val="left" w:pos="1100"/>
          <w:tab w:val="right" w:leader="dot" w:pos="10456"/>
        </w:tabs>
        <w:rPr>
          <w:rFonts w:asciiTheme="minorHAnsi" w:eastAsiaTheme="minorEastAsia" w:hAnsiTheme="minorHAnsi" w:cstheme="minorBidi"/>
          <w:noProof/>
          <w:lang w:eastAsia="pl-PL"/>
        </w:rPr>
      </w:pPr>
      <w:hyperlink w:anchor="_Toc514928913" w:history="1">
        <w:r w:rsidR="00694DB9" w:rsidRPr="007D6A91">
          <w:rPr>
            <w:rStyle w:val="Hipercze"/>
            <w:rFonts w:asciiTheme="majorHAnsi" w:hAnsiTheme="majorHAnsi"/>
            <w:noProof/>
          </w:rPr>
          <w:t>10.2.</w:t>
        </w:r>
        <w:r w:rsidR="00694DB9">
          <w:rPr>
            <w:rFonts w:asciiTheme="minorHAnsi" w:eastAsiaTheme="minorEastAsia" w:hAnsiTheme="minorHAnsi" w:cstheme="minorBidi"/>
            <w:noProof/>
            <w:lang w:eastAsia="pl-PL"/>
          </w:rPr>
          <w:tab/>
        </w:r>
        <w:r w:rsidR="00694DB9" w:rsidRPr="007D6A91">
          <w:rPr>
            <w:rStyle w:val="Hipercze"/>
            <w:noProof/>
          </w:rPr>
          <w:t>Wpływ na obszary Natura 2000</w:t>
        </w:r>
        <w:r w:rsidR="00694DB9">
          <w:rPr>
            <w:noProof/>
            <w:webHidden/>
          </w:rPr>
          <w:tab/>
        </w:r>
        <w:r w:rsidR="00694DB9">
          <w:rPr>
            <w:noProof/>
            <w:webHidden/>
          </w:rPr>
          <w:fldChar w:fldCharType="begin"/>
        </w:r>
        <w:r w:rsidR="00694DB9">
          <w:rPr>
            <w:noProof/>
            <w:webHidden/>
          </w:rPr>
          <w:instrText xml:space="preserve"> PAGEREF _Toc514928913 \h </w:instrText>
        </w:r>
        <w:r w:rsidR="00694DB9">
          <w:rPr>
            <w:noProof/>
            <w:webHidden/>
          </w:rPr>
        </w:r>
        <w:r w:rsidR="00694DB9">
          <w:rPr>
            <w:noProof/>
            <w:webHidden/>
          </w:rPr>
          <w:fldChar w:fldCharType="separate"/>
        </w:r>
        <w:r w:rsidR="00694DB9">
          <w:rPr>
            <w:noProof/>
            <w:webHidden/>
          </w:rPr>
          <w:t>50</w:t>
        </w:r>
        <w:r w:rsidR="00694DB9">
          <w:rPr>
            <w:noProof/>
            <w:webHidden/>
          </w:rPr>
          <w:fldChar w:fldCharType="end"/>
        </w:r>
      </w:hyperlink>
    </w:p>
    <w:p w:rsidR="00694DB9" w:rsidRDefault="006D794F">
      <w:pPr>
        <w:pStyle w:val="Spistreci2"/>
        <w:tabs>
          <w:tab w:val="left" w:pos="1100"/>
          <w:tab w:val="right" w:leader="dot" w:pos="10456"/>
        </w:tabs>
        <w:rPr>
          <w:rFonts w:asciiTheme="minorHAnsi" w:eastAsiaTheme="minorEastAsia" w:hAnsiTheme="minorHAnsi" w:cstheme="minorBidi"/>
          <w:noProof/>
          <w:lang w:eastAsia="pl-PL"/>
        </w:rPr>
      </w:pPr>
      <w:hyperlink w:anchor="_Toc514928914" w:history="1">
        <w:r w:rsidR="00694DB9" w:rsidRPr="007D6A91">
          <w:rPr>
            <w:rStyle w:val="Hipercze"/>
            <w:rFonts w:asciiTheme="majorHAnsi" w:hAnsiTheme="majorHAnsi"/>
            <w:noProof/>
          </w:rPr>
          <w:t>10.3.</w:t>
        </w:r>
        <w:r w:rsidR="00694DB9">
          <w:rPr>
            <w:rFonts w:asciiTheme="minorHAnsi" w:eastAsiaTheme="minorEastAsia" w:hAnsiTheme="minorHAnsi" w:cstheme="minorBidi"/>
            <w:noProof/>
            <w:lang w:eastAsia="pl-PL"/>
          </w:rPr>
          <w:tab/>
        </w:r>
        <w:r w:rsidR="00694DB9" w:rsidRPr="007D6A91">
          <w:rPr>
            <w:rStyle w:val="Hipercze"/>
            <w:noProof/>
          </w:rPr>
          <w:t>Przystosowanie do zmiany klimatu, łagodzenie zmiany klimatu oraz odporność na klęski żywiołowe</w:t>
        </w:r>
        <w:r w:rsidR="00694DB9">
          <w:rPr>
            <w:noProof/>
            <w:webHidden/>
          </w:rPr>
          <w:tab/>
        </w:r>
        <w:r w:rsidR="00694DB9">
          <w:rPr>
            <w:noProof/>
            <w:webHidden/>
          </w:rPr>
          <w:fldChar w:fldCharType="begin"/>
        </w:r>
        <w:r w:rsidR="00694DB9">
          <w:rPr>
            <w:noProof/>
            <w:webHidden/>
          </w:rPr>
          <w:instrText xml:space="preserve"> PAGEREF _Toc514928914 \h </w:instrText>
        </w:r>
        <w:r w:rsidR="00694DB9">
          <w:rPr>
            <w:noProof/>
            <w:webHidden/>
          </w:rPr>
        </w:r>
        <w:r w:rsidR="00694DB9">
          <w:rPr>
            <w:noProof/>
            <w:webHidden/>
          </w:rPr>
          <w:fldChar w:fldCharType="separate"/>
        </w:r>
        <w:r w:rsidR="00694DB9">
          <w:rPr>
            <w:noProof/>
            <w:webHidden/>
          </w:rPr>
          <w:t>50</w:t>
        </w:r>
        <w:r w:rsidR="00694DB9">
          <w:rPr>
            <w:noProof/>
            <w:webHidden/>
          </w:rPr>
          <w:fldChar w:fldCharType="end"/>
        </w:r>
      </w:hyperlink>
    </w:p>
    <w:p w:rsidR="00694DB9" w:rsidRDefault="006D794F">
      <w:pPr>
        <w:pStyle w:val="Spistreci2"/>
        <w:tabs>
          <w:tab w:val="left" w:pos="1100"/>
          <w:tab w:val="right" w:leader="dot" w:pos="10456"/>
        </w:tabs>
        <w:rPr>
          <w:rFonts w:asciiTheme="minorHAnsi" w:eastAsiaTheme="minorEastAsia" w:hAnsiTheme="minorHAnsi" w:cstheme="minorBidi"/>
          <w:noProof/>
          <w:lang w:eastAsia="pl-PL"/>
        </w:rPr>
      </w:pPr>
      <w:hyperlink w:anchor="_Toc514928915" w:history="1">
        <w:r w:rsidR="00694DB9" w:rsidRPr="007D6A91">
          <w:rPr>
            <w:rStyle w:val="Hipercze"/>
            <w:rFonts w:asciiTheme="majorHAnsi" w:hAnsiTheme="majorHAnsi"/>
            <w:noProof/>
          </w:rPr>
          <w:t>10.4.</w:t>
        </w:r>
        <w:r w:rsidR="00694DB9">
          <w:rPr>
            <w:rFonts w:asciiTheme="minorHAnsi" w:eastAsiaTheme="minorEastAsia" w:hAnsiTheme="minorHAnsi" w:cstheme="minorBidi"/>
            <w:noProof/>
            <w:lang w:eastAsia="pl-PL"/>
          </w:rPr>
          <w:tab/>
        </w:r>
        <w:r w:rsidR="00694DB9" w:rsidRPr="007D6A91">
          <w:rPr>
            <w:rStyle w:val="Hipercze"/>
            <w:noProof/>
          </w:rPr>
          <w:t>Wpływ na efektywne i racjonalne wykorzystywanie zasobów naturalnych oraz stosowanie rozwiązań przyjaznych środowisku</w:t>
        </w:r>
        <w:r w:rsidR="00694DB9">
          <w:rPr>
            <w:noProof/>
            <w:webHidden/>
          </w:rPr>
          <w:tab/>
        </w:r>
        <w:r w:rsidR="00694DB9">
          <w:rPr>
            <w:noProof/>
            <w:webHidden/>
          </w:rPr>
          <w:fldChar w:fldCharType="begin"/>
        </w:r>
        <w:r w:rsidR="00694DB9">
          <w:rPr>
            <w:noProof/>
            <w:webHidden/>
          </w:rPr>
          <w:instrText xml:space="preserve"> PAGEREF _Toc514928915 \h </w:instrText>
        </w:r>
        <w:r w:rsidR="00694DB9">
          <w:rPr>
            <w:noProof/>
            <w:webHidden/>
          </w:rPr>
        </w:r>
        <w:r w:rsidR="00694DB9">
          <w:rPr>
            <w:noProof/>
            <w:webHidden/>
          </w:rPr>
          <w:fldChar w:fldCharType="separate"/>
        </w:r>
        <w:r w:rsidR="00694DB9">
          <w:rPr>
            <w:noProof/>
            <w:webHidden/>
          </w:rPr>
          <w:t>51</w:t>
        </w:r>
        <w:r w:rsidR="00694DB9">
          <w:rPr>
            <w:noProof/>
            <w:webHidden/>
          </w:rPr>
          <w:fldChar w:fldCharType="end"/>
        </w:r>
      </w:hyperlink>
    </w:p>
    <w:p w:rsidR="00694DB9" w:rsidRDefault="006D794F">
      <w:pPr>
        <w:pStyle w:val="Spistreci1"/>
        <w:tabs>
          <w:tab w:val="left" w:pos="660"/>
          <w:tab w:val="right" w:leader="dot" w:pos="10456"/>
        </w:tabs>
        <w:rPr>
          <w:rFonts w:asciiTheme="minorHAnsi" w:eastAsiaTheme="minorEastAsia" w:hAnsiTheme="minorHAnsi" w:cstheme="minorBidi"/>
          <w:noProof/>
          <w:lang w:eastAsia="pl-PL"/>
        </w:rPr>
      </w:pPr>
      <w:hyperlink w:anchor="_Toc514928916" w:history="1">
        <w:r w:rsidR="00694DB9" w:rsidRPr="007D6A91">
          <w:rPr>
            <w:rStyle w:val="Hipercze"/>
            <w:noProof/>
          </w:rPr>
          <w:t>11.</w:t>
        </w:r>
        <w:r w:rsidR="00694DB9">
          <w:rPr>
            <w:rFonts w:asciiTheme="minorHAnsi" w:eastAsiaTheme="minorEastAsia" w:hAnsiTheme="minorHAnsi" w:cstheme="minorBidi"/>
            <w:noProof/>
            <w:lang w:eastAsia="pl-PL"/>
          </w:rPr>
          <w:tab/>
        </w:r>
        <w:r w:rsidR="00694DB9" w:rsidRPr="007D6A91">
          <w:rPr>
            <w:rStyle w:val="Hipercze"/>
            <w:noProof/>
          </w:rPr>
          <w:t>Promocja projektu</w:t>
        </w:r>
        <w:r w:rsidR="00694DB9">
          <w:rPr>
            <w:noProof/>
            <w:webHidden/>
          </w:rPr>
          <w:tab/>
        </w:r>
        <w:r w:rsidR="00694DB9">
          <w:rPr>
            <w:noProof/>
            <w:webHidden/>
          </w:rPr>
          <w:fldChar w:fldCharType="begin"/>
        </w:r>
        <w:r w:rsidR="00694DB9">
          <w:rPr>
            <w:noProof/>
            <w:webHidden/>
          </w:rPr>
          <w:instrText xml:space="preserve"> PAGEREF _Toc514928916 \h </w:instrText>
        </w:r>
        <w:r w:rsidR="00694DB9">
          <w:rPr>
            <w:noProof/>
            <w:webHidden/>
          </w:rPr>
        </w:r>
        <w:r w:rsidR="00694DB9">
          <w:rPr>
            <w:noProof/>
            <w:webHidden/>
          </w:rPr>
          <w:fldChar w:fldCharType="separate"/>
        </w:r>
        <w:r w:rsidR="00694DB9">
          <w:rPr>
            <w:noProof/>
            <w:webHidden/>
          </w:rPr>
          <w:t>51</w:t>
        </w:r>
        <w:r w:rsidR="00694DB9">
          <w:rPr>
            <w:noProof/>
            <w:webHidden/>
          </w:rPr>
          <w:fldChar w:fldCharType="end"/>
        </w:r>
      </w:hyperlink>
    </w:p>
    <w:p w:rsidR="00694DB9" w:rsidRDefault="006D794F">
      <w:pPr>
        <w:pStyle w:val="Spistreci1"/>
        <w:tabs>
          <w:tab w:val="left" w:pos="660"/>
          <w:tab w:val="right" w:leader="dot" w:pos="10456"/>
        </w:tabs>
        <w:rPr>
          <w:rFonts w:asciiTheme="minorHAnsi" w:eastAsiaTheme="minorEastAsia" w:hAnsiTheme="minorHAnsi" w:cstheme="minorBidi"/>
          <w:noProof/>
          <w:lang w:eastAsia="pl-PL"/>
        </w:rPr>
      </w:pPr>
      <w:hyperlink w:anchor="_Toc514928917" w:history="1">
        <w:r w:rsidR="00694DB9" w:rsidRPr="007D6A91">
          <w:rPr>
            <w:rStyle w:val="Hipercze"/>
            <w:noProof/>
          </w:rPr>
          <w:t>12.</w:t>
        </w:r>
        <w:r w:rsidR="00694DB9">
          <w:rPr>
            <w:rFonts w:asciiTheme="minorHAnsi" w:eastAsiaTheme="minorEastAsia" w:hAnsiTheme="minorHAnsi" w:cstheme="minorBidi"/>
            <w:noProof/>
            <w:lang w:eastAsia="pl-PL"/>
          </w:rPr>
          <w:tab/>
        </w:r>
        <w:r w:rsidR="00694DB9" w:rsidRPr="007D6A91">
          <w:rPr>
            <w:rStyle w:val="Hipercze"/>
            <w:noProof/>
          </w:rPr>
          <w:t>Wnioski i podsumowanie</w:t>
        </w:r>
        <w:r w:rsidR="00694DB9">
          <w:rPr>
            <w:noProof/>
            <w:webHidden/>
          </w:rPr>
          <w:tab/>
        </w:r>
        <w:r w:rsidR="00694DB9">
          <w:rPr>
            <w:noProof/>
            <w:webHidden/>
          </w:rPr>
          <w:fldChar w:fldCharType="begin"/>
        </w:r>
        <w:r w:rsidR="00694DB9">
          <w:rPr>
            <w:noProof/>
            <w:webHidden/>
          </w:rPr>
          <w:instrText xml:space="preserve"> PAGEREF _Toc514928917 \h </w:instrText>
        </w:r>
        <w:r w:rsidR="00694DB9">
          <w:rPr>
            <w:noProof/>
            <w:webHidden/>
          </w:rPr>
        </w:r>
        <w:r w:rsidR="00694DB9">
          <w:rPr>
            <w:noProof/>
            <w:webHidden/>
          </w:rPr>
          <w:fldChar w:fldCharType="separate"/>
        </w:r>
        <w:r w:rsidR="00694DB9">
          <w:rPr>
            <w:noProof/>
            <w:webHidden/>
          </w:rPr>
          <w:t>51</w:t>
        </w:r>
        <w:r w:rsidR="00694DB9">
          <w:rPr>
            <w:noProof/>
            <w:webHidden/>
          </w:rPr>
          <w:fldChar w:fldCharType="end"/>
        </w:r>
      </w:hyperlink>
    </w:p>
    <w:p w:rsidR="00694DB9" w:rsidRDefault="006D794F">
      <w:pPr>
        <w:pStyle w:val="Spistreci1"/>
        <w:tabs>
          <w:tab w:val="left" w:pos="660"/>
          <w:tab w:val="right" w:leader="dot" w:pos="10456"/>
        </w:tabs>
        <w:rPr>
          <w:rFonts w:asciiTheme="minorHAnsi" w:eastAsiaTheme="minorEastAsia" w:hAnsiTheme="minorHAnsi" w:cstheme="minorBidi"/>
          <w:noProof/>
          <w:lang w:eastAsia="pl-PL"/>
        </w:rPr>
      </w:pPr>
      <w:hyperlink w:anchor="_Toc514928918" w:history="1">
        <w:r w:rsidR="00694DB9" w:rsidRPr="007D6A91">
          <w:rPr>
            <w:rStyle w:val="Hipercze"/>
            <w:noProof/>
          </w:rPr>
          <w:t>13.</w:t>
        </w:r>
        <w:r w:rsidR="00694DB9">
          <w:rPr>
            <w:rFonts w:asciiTheme="minorHAnsi" w:eastAsiaTheme="minorEastAsia" w:hAnsiTheme="minorHAnsi" w:cstheme="minorBidi"/>
            <w:noProof/>
            <w:lang w:eastAsia="pl-PL"/>
          </w:rPr>
          <w:tab/>
        </w:r>
        <w:r w:rsidR="00694DB9" w:rsidRPr="007D6A91">
          <w:rPr>
            <w:rStyle w:val="Hipercze"/>
            <w:noProof/>
          </w:rPr>
          <w:t>Oświadczenie</w:t>
        </w:r>
        <w:r w:rsidR="00694DB9">
          <w:rPr>
            <w:noProof/>
            <w:webHidden/>
          </w:rPr>
          <w:tab/>
        </w:r>
        <w:r w:rsidR="00694DB9">
          <w:rPr>
            <w:noProof/>
            <w:webHidden/>
          </w:rPr>
          <w:fldChar w:fldCharType="begin"/>
        </w:r>
        <w:r w:rsidR="00694DB9">
          <w:rPr>
            <w:noProof/>
            <w:webHidden/>
          </w:rPr>
          <w:instrText xml:space="preserve"> PAGEREF _Toc514928918 \h </w:instrText>
        </w:r>
        <w:r w:rsidR="00694DB9">
          <w:rPr>
            <w:noProof/>
            <w:webHidden/>
          </w:rPr>
        </w:r>
        <w:r w:rsidR="00694DB9">
          <w:rPr>
            <w:noProof/>
            <w:webHidden/>
          </w:rPr>
          <w:fldChar w:fldCharType="separate"/>
        </w:r>
        <w:r w:rsidR="00694DB9">
          <w:rPr>
            <w:noProof/>
            <w:webHidden/>
          </w:rPr>
          <w:t>52</w:t>
        </w:r>
        <w:r w:rsidR="00694DB9">
          <w:rPr>
            <w:noProof/>
            <w:webHidden/>
          </w:rPr>
          <w:fldChar w:fldCharType="end"/>
        </w:r>
      </w:hyperlink>
    </w:p>
    <w:p w:rsidR="00767543" w:rsidRDefault="00993140" w:rsidP="00043312">
      <w:r>
        <w:fldChar w:fldCharType="end"/>
      </w:r>
    </w:p>
    <w:p w:rsidR="00F9645B" w:rsidRDefault="00F9645B" w:rsidP="00043312"/>
    <w:p w:rsidR="00F9645B" w:rsidRDefault="00F9645B" w:rsidP="00043312"/>
    <w:p w:rsidR="00D96699" w:rsidRDefault="00D96699" w:rsidP="00043312"/>
    <w:p w:rsidR="00D96699" w:rsidRDefault="00D96699" w:rsidP="00043312"/>
    <w:p w:rsidR="00D96699" w:rsidRDefault="00D96699" w:rsidP="00043312"/>
    <w:p w:rsidR="00694DB9" w:rsidRDefault="00694DB9" w:rsidP="00043312"/>
    <w:p w:rsidR="00694DB9" w:rsidRDefault="00694DB9" w:rsidP="00043312"/>
    <w:p w:rsidR="00820A51" w:rsidRPr="00043312" w:rsidRDefault="00820A51" w:rsidP="00043312"/>
    <w:p w:rsidR="004620AF" w:rsidRDefault="004620AF" w:rsidP="00DB1ABB">
      <w:pPr>
        <w:pStyle w:val="Nagwek1"/>
      </w:pPr>
      <w:bookmarkStart w:id="0" w:name="_Toc514928875"/>
      <w:r>
        <w:lastRenderedPageBreak/>
        <w:t>Wstęp</w:t>
      </w:r>
      <w:bookmarkEnd w:id="0"/>
    </w:p>
    <w:p w:rsidR="004620AF" w:rsidRDefault="004620AF" w:rsidP="00C30E32">
      <w:pPr>
        <w:autoSpaceDE w:val="0"/>
        <w:autoSpaceDN w:val="0"/>
        <w:adjustRightInd w:val="0"/>
        <w:spacing w:after="0" w:line="240" w:lineRule="auto"/>
        <w:jc w:val="both"/>
        <w:rPr>
          <w:rFonts w:cs="Calibri,Italic"/>
          <w:iCs/>
          <w:sz w:val="24"/>
          <w:szCs w:val="24"/>
        </w:rPr>
      </w:pPr>
    </w:p>
    <w:p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 xml:space="preserve">jak również określenie wysokości dofinansowania z 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t>
      </w:r>
      <w:proofErr w:type="spellStart"/>
      <w:r w:rsidR="00A36582">
        <w:rPr>
          <w:rFonts w:cs="Calibri,Italic"/>
          <w:iCs/>
          <w:sz w:val="24"/>
          <w:szCs w:val="24"/>
        </w:rPr>
        <w:t>WoD</w:t>
      </w:r>
      <w:proofErr w:type="spellEnd"/>
      <w:r w:rsidR="00A36582">
        <w:rPr>
          <w:rFonts w:cs="Calibri,Italic"/>
          <w:iCs/>
          <w:sz w:val="24"/>
          <w:szCs w:val="24"/>
        </w:rPr>
        <w:t>)</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w:t>
      </w:r>
      <w:r w:rsidR="004A4CA3" w:rsidRPr="004A4CA3">
        <w:rPr>
          <w:rFonts w:cs="Calibri,Italic"/>
          <w:b/>
          <w:iCs/>
          <w:sz w:val="24"/>
          <w:szCs w:val="24"/>
        </w:rPr>
        <w:br/>
      </w:r>
      <w:r w:rsidR="00497EC7" w:rsidRPr="004A4CA3">
        <w:rPr>
          <w:rFonts w:cs="Calibri,Italic"/>
          <w:b/>
          <w:iCs/>
          <w:sz w:val="24"/>
          <w:szCs w:val="24"/>
        </w:rPr>
        <w:t xml:space="preserve">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proofErr w:type="spellStart"/>
      <w:r w:rsidR="00A36582">
        <w:rPr>
          <w:rFonts w:cs="Calibri,Italic"/>
          <w:iCs/>
          <w:sz w:val="24"/>
          <w:szCs w:val="24"/>
        </w:rPr>
        <w:t>WoD</w:t>
      </w:r>
      <w:proofErr w:type="spellEnd"/>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lastRenderedPageBreak/>
        <w:t xml:space="preserve">we </w:t>
      </w:r>
      <w:proofErr w:type="spellStart"/>
      <w:r w:rsidR="00E7710B">
        <w:rPr>
          <w:rFonts w:cs="Calibri,Italic"/>
          <w:iCs/>
          <w:sz w:val="24"/>
          <w:szCs w:val="24"/>
        </w:rPr>
        <w:t>WoD</w:t>
      </w:r>
      <w:proofErr w:type="spellEnd"/>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rsidR="00B06A4B" w:rsidRDefault="00330BC0" w:rsidP="00330BC0">
      <w:pPr>
        <w:tabs>
          <w:tab w:val="left" w:pos="4635"/>
        </w:tabs>
        <w:autoSpaceDE w:val="0"/>
        <w:autoSpaceDN w:val="0"/>
        <w:adjustRightInd w:val="0"/>
        <w:spacing w:after="0"/>
        <w:jc w:val="both"/>
        <w:rPr>
          <w:rFonts w:cs="Calibri,Italic"/>
          <w:iCs/>
          <w:sz w:val="24"/>
          <w:szCs w:val="24"/>
        </w:rPr>
      </w:pPr>
      <w:r>
        <w:rPr>
          <w:rFonts w:cs="Calibri,Italic"/>
          <w:iCs/>
          <w:sz w:val="24"/>
          <w:szCs w:val="24"/>
        </w:rPr>
        <w:tab/>
      </w:r>
    </w:p>
    <w:p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rsidR="00B06A4B" w:rsidRPr="00B06A4B" w:rsidRDefault="00B06A4B" w:rsidP="00B06A4B">
      <w:pPr>
        <w:autoSpaceDE w:val="0"/>
        <w:autoSpaceDN w:val="0"/>
        <w:adjustRightInd w:val="0"/>
        <w:spacing w:after="0"/>
        <w:jc w:val="both"/>
        <w:rPr>
          <w:rFonts w:cs="Calibri,Italic"/>
          <w:iCs/>
          <w:sz w:val="24"/>
          <w:szCs w:val="24"/>
        </w:rPr>
      </w:pPr>
    </w:p>
    <w:p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rsidR="00C11BA3" w:rsidRDefault="00C11BA3"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F8319D" w:rsidRDefault="00F8319D" w:rsidP="00A655D6">
      <w:pPr>
        <w:autoSpaceDE w:val="0"/>
        <w:autoSpaceDN w:val="0"/>
        <w:adjustRightInd w:val="0"/>
        <w:spacing w:after="0"/>
        <w:jc w:val="both"/>
        <w:rPr>
          <w:rFonts w:cs="Calibri,Italic"/>
          <w:iCs/>
          <w:sz w:val="24"/>
          <w:szCs w:val="24"/>
        </w:rPr>
      </w:pPr>
    </w:p>
    <w:p w:rsidR="00DB1ABB" w:rsidRDefault="00211BFC" w:rsidP="00DB1ABB">
      <w:pPr>
        <w:pStyle w:val="Nagwek1"/>
      </w:pPr>
      <w:bookmarkStart w:id="1" w:name="_Toc514928876"/>
      <w:r>
        <w:lastRenderedPageBreak/>
        <w:t>Słownik pojęć i skrótów</w:t>
      </w:r>
      <w:bookmarkEnd w:id="1"/>
      <w:r>
        <w:t xml:space="preserve"> </w:t>
      </w:r>
      <w:r w:rsidR="00DB1ABB">
        <w:t xml:space="preserve"> </w:t>
      </w:r>
    </w:p>
    <w:p w:rsidR="00DB1ABB" w:rsidRDefault="00DB1ABB" w:rsidP="00DB1ABB">
      <w:pPr>
        <w:pStyle w:val="Bezodstpw"/>
      </w:pPr>
    </w:p>
    <w:p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proofErr w:type="spellStart"/>
      <w:r w:rsidR="002C64A0">
        <w:rPr>
          <w:i/>
          <w:iCs/>
          <w:sz w:val="24"/>
          <w:szCs w:val="24"/>
        </w:rPr>
        <w:t>Cost</w:t>
      </w:r>
      <w:proofErr w:type="spellEnd"/>
      <w:r w:rsidR="002C64A0">
        <w:rPr>
          <w:i/>
          <w:iCs/>
          <w:sz w:val="24"/>
          <w:szCs w:val="24"/>
        </w:rPr>
        <w:t xml:space="preserve"> </w:t>
      </w:r>
      <w:proofErr w:type="spellStart"/>
      <w:r w:rsidR="002C64A0">
        <w:rPr>
          <w:i/>
          <w:iCs/>
          <w:sz w:val="24"/>
          <w:szCs w:val="24"/>
        </w:rPr>
        <w:t>Effectiveness</w:t>
      </w:r>
      <w:proofErr w:type="spellEnd"/>
      <w:r w:rsidR="002C64A0">
        <w:rPr>
          <w:i/>
          <w:iCs/>
          <w:sz w:val="24"/>
          <w:szCs w:val="24"/>
        </w:rPr>
        <w:t xml:space="preserve"> Analysis - </w:t>
      </w:r>
      <w:r w:rsidRPr="00DB1ABB">
        <w:rPr>
          <w:i/>
          <w:iCs/>
          <w:sz w:val="24"/>
          <w:szCs w:val="24"/>
        </w:rPr>
        <w:t>CEA</w:t>
      </w:r>
      <w:r w:rsidR="00DB1ABB" w:rsidRPr="00DB1ABB">
        <w:rPr>
          <w:sz w:val="24"/>
          <w:szCs w:val="24"/>
        </w:rPr>
        <w:t xml:space="preserve">) – </w:t>
      </w:r>
      <w:r w:rsidRPr="00DB1ABB">
        <w:rPr>
          <w:sz w:val="24"/>
          <w:szCs w:val="24"/>
        </w:rPr>
        <w:t>metoda analizy efektywności projektów, którą stosuje się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DB1ABB">
        <w:rPr>
          <w:i/>
          <w:iCs/>
          <w:sz w:val="24"/>
          <w:szCs w:val="24"/>
        </w:rPr>
        <w:t>Dynamic</w:t>
      </w:r>
      <w:proofErr w:type="spellEnd"/>
      <w:r w:rsidRPr="00DB1ABB">
        <w:rPr>
          <w:i/>
          <w:iCs/>
          <w:sz w:val="24"/>
          <w:szCs w:val="24"/>
        </w:rPr>
        <w:t xml:space="preserve"> </w:t>
      </w:r>
      <w:proofErr w:type="spellStart"/>
      <w:r w:rsidRPr="00DB1ABB">
        <w:rPr>
          <w:i/>
          <w:iCs/>
          <w:sz w:val="24"/>
          <w:szCs w:val="24"/>
        </w:rPr>
        <w:t>Generation</w:t>
      </w:r>
      <w:proofErr w:type="spellEnd"/>
      <w:r w:rsidRPr="00DB1ABB">
        <w:rPr>
          <w:i/>
          <w:iCs/>
          <w:sz w:val="24"/>
          <w:szCs w:val="24"/>
        </w:rPr>
        <w:t xml:space="preserve"> </w:t>
      </w:r>
      <w:proofErr w:type="spellStart"/>
      <w:r w:rsidRPr="00DB1ABB">
        <w:rPr>
          <w:i/>
          <w:iCs/>
          <w:sz w:val="24"/>
          <w:szCs w:val="24"/>
        </w:rPr>
        <w:t>Cost</w:t>
      </w:r>
      <w:proofErr w:type="spellEnd"/>
      <w:r w:rsidRPr="00DB1ABB">
        <w:rPr>
          <w:i/>
          <w:iCs/>
          <w:sz w:val="24"/>
          <w:szCs w:val="24"/>
        </w:rPr>
        <w:t xml:space="preserve"> – DGC</w:t>
      </w:r>
      <w:r w:rsidRPr="00DB1ABB">
        <w:rPr>
          <w:sz w:val="24"/>
          <w:szCs w:val="24"/>
        </w:rPr>
        <w:t xml:space="preserve">). </w:t>
      </w:r>
    </w:p>
    <w:p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w:t>
      </w:r>
      <w:r w:rsidR="00330BC0">
        <w:rPr>
          <w:rFonts w:eastAsia="Times New Roman"/>
          <w:bCs/>
          <w:kern w:val="32"/>
          <w:sz w:val="24"/>
          <w:szCs w:val="24"/>
        </w:rPr>
        <w:br/>
      </w:r>
      <w:r w:rsidRPr="00DB1ABB">
        <w:rPr>
          <w:rFonts w:eastAsia="Times New Roman"/>
          <w:bCs/>
          <w:kern w:val="32"/>
          <w:sz w:val="24"/>
          <w:szCs w:val="24"/>
        </w:rPr>
        <w:t xml:space="preserve">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DB1ABB">
        <w:rPr>
          <w:rFonts w:eastAsia="Times New Roman"/>
          <w:bCs/>
          <w:i/>
          <w:iCs/>
          <w:kern w:val="32"/>
          <w:sz w:val="24"/>
          <w:szCs w:val="24"/>
        </w:rPr>
        <w:t>Discounted</w:t>
      </w:r>
      <w:proofErr w:type="spellEnd"/>
      <w:r w:rsidRPr="00DB1ABB">
        <w:rPr>
          <w:rFonts w:eastAsia="Times New Roman"/>
          <w:bCs/>
          <w:i/>
          <w:iCs/>
          <w:kern w:val="32"/>
          <w:sz w:val="24"/>
          <w:szCs w:val="24"/>
        </w:rPr>
        <w:t xml:space="preserve"> Cash </w:t>
      </w:r>
      <w:proofErr w:type="spellStart"/>
      <w:r w:rsidRPr="00DB1ABB">
        <w:rPr>
          <w:rFonts w:eastAsia="Times New Roman"/>
          <w:bCs/>
          <w:i/>
          <w:iCs/>
          <w:kern w:val="32"/>
          <w:sz w:val="24"/>
          <w:szCs w:val="24"/>
        </w:rPr>
        <w:t>Flows</w:t>
      </w:r>
      <w:proofErr w:type="spellEnd"/>
      <w:r w:rsidRPr="00DB1ABB">
        <w:rPr>
          <w:rFonts w:eastAsia="Times New Roman"/>
          <w:bCs/>
          <w:i/>
          <w:iCs/>
          <w:kern w:val="32"/>
          <w:sz w:val="24"/>
          <w:szCs w:val="24"/>
        </w:rPr>
        <w:t xml:space="preserve"> – DCF</w:t>
      </w:r>
      <w:r w:rsidRPr="00DB1ABB">
        <w:rPr>
          <w:rFonts w:eastAsia="Times New Roman"/>
          <w:bCs/>
          <w:kern w:val="32"/>
          <w:sz w:val="24"/>
          <w:szCs w:val="24"/>
        </w:rPr>
        <w:t xml:space="preserve">). </w:t>
      </w:r>
    </w:p>
    <w:p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proofErr w:type="spellStart"/>
      <w:r w:rsidRPr="00DB1ABB">
        <w:rPr>
          <w:rFonts w:eastAsia="Times New Roman"/>
          <w:bCs/>
          <w:i/>
          <w:iCs/>
          <w:kern w:val="32"/>
          <w:sz w:val="24"/>
          <w:szCs w:val="24"/>
        </w:rPr>
        <w:t>Cost</w:t>
      </w:r>
      <w:proofErr w:type="spellEnd"/>
      <w:r w:rsidRPr="00DB1ABB">
        <w:rPr>
          <w:rFonts w:eastAsia="Times New Roman"/>
          <w:bCs/>
          <w:i/>
          <w:iCs/>
          <w:kern w:val="32"/>
          <w:sz w:val="24"/>
          <w:szCs w:val="24"/>
        </w:rPr>
        <w: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DB1ABB">
        <w:rPr>
          <w:rFonts w:eastAsia="Times New Roman"/>
          <w:bCs/>
          <w:i/>
          <w:iCs/>
          <w:kern w:val="32"/>
          <w:sz w:val="24"/>
          <w:szCs w:val="24"/>
        </w:rPr>
        <w:t>benefits</w:t>
      </w:r>
      <w:proofErr w:type="spellEnd"/>
      <w:r w:rsidRPr="00DB1ABB">
        <w:rPr>
          <w:rFonts w:eastAsia="Times New Roman"/>
          <w:bCs/>
          <w:kern w:val="32"/>
          <w:sz w:val="24"/>
          <w:szCs w:val="24"/>
        </w:rPr>
        <w:t xml:space="preserve">) i straty (koszty – ang. </w:t>
      </w:r>
      <w:proofErr w:type="spellStart"/>
      <w:r w:rsidRPr="00DB1ABB">
        <w:rPr>
          <w:rFonts w:eastAsia="Times New Roman"/>
          <w:bCs/>
          <w:i/>
          <w:iCs/>
          <w:kern w:val="32"/>
          <w:sz w:val="24"/>
          <w:szCs w:val="24"/>
        </w:rPr>
        <w:t>costs</w:t>
      </w:r>
      <w:proofErr w:type="spellEnd"/>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 </w:t>
      </w:r>
      <w:r w:rsidRPr="00DB1ABB">
        <w:rPr>
          <w:rFonts w:eastAsia="Times New Roman"/>
          <w:bCs/>
          <w:kern w:val="32"/>
          <w:sz w:val="24"/>
          <w:szCs w:val="24"/>
        </w:rPr>
        <w:t>,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i korzyści można znaleźć </w:t>
      </w:r>
      <w:r w:rsidR="00330BC0">
        <w:rPr>
          <w:rFonts w:eastAsia="Times New Roman"/>
          <w:bCs/>
          <w:kern w:val="32"/>
          <w:sz w:val="24"/>
          <w:szCs w:val="24"/>
        </w:rPr>
        <w:br/>
      </w:r>
      <w:r w:rsidRPr="00DB1ABB">
        <w:rPr>
          <w:rFonts w:eastAsia="Times New Roman"/>
          <w:bCs/>
          <w:kern w:val="32"/>
          <w:sz w:val="24"/>
          <w:szCs w:val="24"/>
        </w:rPr>
        <w:t xml:space="preserve">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rsidR="00A75E47" w:rsidRPr="00DB1ABB" w:rsidRDefault="00685B9C" w:rsidP="00DB1ABB">
      <w:pPr>
        <w:jc w:val="both"/>
        <w:rPr>
          <w:rFonts w:eastAsia="Times New Roman"/>
          <w:bCs/>
          <w:kern w:val="32"/>
          <w:sz w:val="24"/>
          <w:szCs w:val="24"/>
        </w:rPr>
      </w:pPr>
      <w:r w:rsidRPr="00DB1ABB">
        <w:rPr>
          <w:b/>
          <w:sz w:val="24"/>
          <w:szCs w:val="24"/>
        </w:rPr>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rsidR="00A75E47" w:rsidRPr="00DB1ABB" w:rsidRDefault="00A75E47" w:rsidP="00DB1ABB">
      <w:pPr>
        <w:pStyle w:val="Bezodstpw"/>
        <w:spacing w:line="276" w:lineRule="auto"/>
        <w:jc w:val="both"/>
        <w:rPr>
          <w:sz w:val="24"/>
          <w:szCs w:val="24"/>
        </w:rPr>
      </w:pPr>
      <w:r w:rsidRPr="00DB1ABB">
        <w:rPr>
          <w:kern w:val="32"/>
          <w:sz w:val="24"/>
          <w:szCs w:val="24"/>
        </w:rPr>
        <w:lastRenderedPageBreak/>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rsidR="00DB1ABB" w:rsidRDefault="00DB1ABB" w:rsidP="00A75E47">
      <w:pPr>
        <w:pStyle w:val="Bezodstpw"/>
        <w:spacing w:line="276" w:lineRule="auto"/>
        <w:jc w:val="both"/>
        <w:rPr>
          <w:b/>
          <w:bCs/>
          <w:sz w:val="24"/>
          <w:szCs w:val="24"/>
        </w:rPr>
      </w:pPr>
    </w:p>
    <w:p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rsidR="00A75E47" w:rsidRDefault="00A75E47" w:rsidP="00A75E47">
      <w:pPr>
        <w:pStyle w:val="Bezodstpw"/>
        <w:spacing w:line="276" w:lineRule="auto"/>
        <w:jc w:val="both"/>
        <w:rPr>
          <w:sz w:val="24"/>
          <w:szCs w:val="24"/>
        </w:rPr>
      </w:pPr>
    </w:p>
    <w:p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rsidR="00D517F1" w:rsidRDefault="00D517F1" w:rsidP="00D21C28">
      <w:pPr>
        <w:pStyle w:val="Bezodstpw"/>
        <w:spacing w:line="276" w:lineRule="auto"/>
        <w:jc w:val="both"/>
        <w:rPr>
          <w:b/>
          <w:bCs/>
          <w:sz w:val="24"/>
          <w:szCs w:val="24"/>
        </w:rPr>
      </w:pPr>
    </w:p>
    <w:p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rsidR="00D21C28" w:rsidRDefault="00D21C28" w:rsidP="00D21C28">
      <w:pPr>
        <w:pStyle w:val="Bezodstpw"/>
        <w:spacing w:line="276" w:lineRule="auto"/>
        <w:jc w:val="both"/>
        <w:rPr>
          <w:b/>
          <w:bCs/>
          <w:sz w:val="24"/>
          <w:szCs w:val="24"/>
        </w:rPr>
      </w:pPr>
    </w:p>
    <w:p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xml:space="preserve">, ponoszone do momentu ukończenia realizacji projektu. Obejmuje m.in. nakłady inwestycyjne na realizację projektu, powiększone </w:t>
      </w:r>
      <w:r w:rsidR="00330BC0">
        <w:rPr>
          <w:sz w:val="24"/>
          <w:szCs w:val="24"/>
        </w:rPr>
        <w:br/>
      </w:r>
      <w:r w:rsidRPr="00D21C28">
        <w:rPr>
          <w:sz w:val="24"/>
          <w:szCs w:val="24"/>
        </w:rPr>
        <w:t>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D21C28" w:rsidRDefault="00D21C28" w:rsidP="00D21C28">
      <w:pPr>
        <w:pStyle w:val="Bezodstpw"/>
        <w:spacing w:line="276" w:lineRule="auto"/>
        <w:jc w:val="both"/>
        <w:rPr>
          <w:sz w:val="24"/>
          <w:szCs w:val="24"/>
        </w:rPr>
      </w:pPr>
    </w:p>
    <w:p w:rsidR="008634BD" w:rsidRPr="008634BD" w:rsidRDefault="00D21C28" w:rsidP="008634BD">
      <w:pPr>
        <w:pStyle w:val="Bezodstpw"/>
        <w:spacing w:line="276" w:lineRule="auto"/>
        <w:jc w:val="both"/>
        <w:rPr>
          <w:sz w:val="24"/>
          <w:szCs w:val="24"/>
        </w:rPr>
      </w:pPr>
      <w:r w:rsidRPr="00D21C28">
        <w:rPr>
          <w:b/>
          <w:bCs/>
          <w:sz w:val="24"/>
          <w:szCs w:val="24"/>
        </w:rPr>
        <w:lastRenderedPageBreak/>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rsidR="008634BD" w:rsidRDefault="008634BD" w:rsidP="008634BD">
      <w:pPr>
        <w:pStyle w:val="Bezodstpw"/>
        <w:spacing w:line="276" w:lineRule="auto"/>
        <w:jc w:val="both"/>
        <w:rPr>
          <w:b/>
          <w:bCs/>
          <w:sz w:val="24"/>
          <w:szCs w:val="24"/>
        </w:rPr>
      </w:pPr>
    </w:p>
    <w:p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rsidR="008634BD" w:rsidRDefault="008634BD" w:rsidP="008634BD">
      <w:pPr>
        <w:pStyle w:val="Bezodstpw"/>
        <w:spacing w:line="276" w:lineRule="auto"/>
        <w:jc w:val="both"/>
        <w:rPr>
          <w:sz w:val="24"/>
          <w:szCs w:val="24"/>
        </w:rPr>
      </w:pPr>
    </w:p>
    <w:p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proofErr w:type="spellStart"/>
      <w:r w:rsidRPr="008634BD">
        <w:rPr>
          <w:i/>
          <w:iCs/>
          <w:sz w:val="24"/>
          <w:szCs w:val="24"/>
        </w:rPr>
        <w:t>shadow</w:t>
      </w:r>
      <w:proofErr w:type="spellEnd"/>
      <w:r w:rsidRPr="008634BD">
        <w:rPr>
          <w:i/>
          <w:iCs/>
          <w:sz w:val="24"/>
          <w:szCs w:val="24"/>
        </w:rPr>
        <w:t xml:space="preserve"> </w:t>
      </w:r>
      <w:proofErr w:type="spellStart"/>
      <w:r w:rsidRPr="008634BD">
        <w:rPr>
          <w:i/>
          <w:iCs/>
          <w:sz w:val="24"/>
          <w:szCs w:val="24"/>
        </w:rPr>
        <w:t>prices</w:t>
      </w:r>
      <w:proofErr w:type="spellEnd"/>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rsidR="008634BD" w:rsidRDefault="008634BD" w:rsidP="008634BD">
      <w:pPr>
        <w:pStyle w:val="Bezodstpw"/>
        <w:spacing w:line="276" w:lineRule="auto"/>
        <w:jc w:val="both"/>
        <w:rPr>
          <w:sz w:val="24"/>
          <w:szCs w:val="24"/>
        </w:rPr>
      </w:pPr>
    </w:p>
    <w:p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Default="002503DC" w:rsidP="00DB1ABB">
      <w:pPr>
        <w:pStyle w:val="Bezodstpw"/>
        <w:spacing w:line="276" w:lineRule="auto"/>
        <w:jc w:val="both"/>
        <w:rPr>
          <w:b/>
          <w:bCs/>
          <w:sz w:val="24"/>
          <w:szCs w:val="24"/>
        </w:rPr>
      </w:pPr>
    </w:p>
    <w:p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w:t>
      </w:r>
      <w:r w:rsidRPr="002503DC">
        <w:rPr>
          <w:sz w:val="24"/>
          <w:szCs w:val="24"/>
        </w:rPr>
        <w:lastRenderedPageBreak/>
        <w:t>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trzecimi,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rsidR="005B00F9" w:rsidRDefault="005B00F9" w:rsidP="005B00F9">
      <w:pPr>
        <w:pStyle w:val="Bezodstpw"/>
        <w:spacing w:line="276" w:lineRule="auto"/>
        <w:jc w:val="both"/>
        <w:rPr>
          <w:b/>
          <w:bCs/>
          <w:sz w:val="24"/>
          <w:szCs w:val="24"/>
        </w:rPr>
      </w:pPr>
    </w:p>
    <w:p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rsidR="001F69F1" w:rsidRDefault="001F69F1" w:rsidP="005B00F9">
      <w:pPr>
        <w:pStyle w:val="Bezodstpw"/>
        <w:spacing w:line="276" w:lineRule="auto"/>
        <w:jc w:val="both"/>
        <w:rPr>
          <w:b/>
          <w:bCs/>
          <w:sz w:val="24"/>
          <w:szCs w:val="24"/>
        </w:rPr>
      </w:pPr>
    </w:p>
    <w:p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rsidR="001F69F1" w:rsidRDefault="001F69F1" w:rsidP="001F69F1">
      <w:pPr>
        <w:pStyle w:val="Bezodstpw"/>
        <w:spacing w:line="276" w:lineRule="auto"/>
        <w:jc w:val="both"/>
        <w:rPr>
          <w:b/>
          <w:bCs/>
          <w:sz w:val="24"/>
          <w:szCs w:val="24"/>
        </w:rPr>
      </w:pPr>
    </w:p>
    <w:p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rsidR="00E20836" w:rsidRPr="00E20836" w:rsidRDefault="001F69F1" w:rsidP="00E20836">
      <w:pPr>
        <w:pStyle w:val="Bezodstpw"/>
        <w:spacing w:line="276" w:lineRule="auto"/>
        <w:jc w:val="both"/>
        <w:rPr>
          <w:sz w:val="24"/>
          <w:szCs w:val="24"/>
        </w:rPr>
      </w:pPr>
      <w:r w:rsidRPr="001F69F1">
        <w:rPr>
          <w:sz w:val="24"/>
          <w:szCs w:val="24"/>
        </w:rPr>
        <w:lastRenderedPageBreak/>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1F69F1">
        <w:rPr>
          <w:sz w:val="24"/>
          <w:szCs w:val="24"/>
        </w:rPr>
        <w:t>zmonetyzowane</w:t>
      </w:r>
      <w:proofErr w:type="spellEnd"/>
      <w:r w:rsidRPr="001F69F1">
        <w:rPr>
          <w:sz w:val="24"/>
          <w:szCs w:val="24"/>
        </w:rPr>
        <w:t xml:space="preserve"> efekty zewnętrzne. </w:t>
      </w:r>
      <w:proofErr w:type="spellStart"/>
      <w:r w:rsidRPr="001F69F1">
        <w:rPr>
          <w:sz w:val="24"/>
          <w:szCs w:val="24"/>
        </w:rPr>
        <w:t>Monetyzacja</w:t>
      </w:r>
      <w:proofErr w:type="spellEnd"/>
      <w:r w:rsidRPr="001F69F1">
        <w:rPr>
          <w:sz w:val="24"/>
          <w:szCs w:val="24"/>
        </w:rPr>
        <w:t xml:space="preserve">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rsidR="00E20836" w:rsidRDefault="00E20836" w:rsidP="00E20836">
      <w:pPr>
        <w:pStyle w:val="Bezodstpw"/>
        <w:spacing w:line="276" w:lineRule="auto"/>
        <w:jc w:val="both"/>
        <w:rPr>
          <w:b/>
          <w:bCs/>
          <w:sz w:val="24"/>
          <w:szCs w:val="24"/>
        </w:rPr>
      </w:pPr>
    </w:p>
    <w:p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rsidR="00DB1ABB" w:rsidRDefault="00DB1ABB" w:rsidP="00E20836">
      <w:pPr>
        <w:pStyle w:val="Bezodstpw"/>
        <w:spacing w:line="276" w:lineRule="auto"/>
        <w:jc w:val="both"/>
        <w:rPr>
          <w:b/>
          <w:bCs/>
          <w:sz w:val="24"/>
          <w:szCs w:val="24"/>
        </w:rPr>
      </w:pPr>
    </w:p>
    <w:p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rsidR="00E20836" w:rsidRDefault="00E20836" w:rsidP="00E20836">
      <w:pPr>
        <w:pStyle w:val="Bezodstpw"/>
        <w:spacing w:line="276" w:lineRule="auto"/>
        <w:jc w:val="both"/>
        <w:rPr>
          <w:sz w:val="24"/>
          <w:szCs w:val="24"/>
        </w:rPr>
      </w:pPr>
    </w:p>
    <w:p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 </w:t>
      </w:r>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rsidR="008634BD" w:rsidRPr="008634BD" w:rsidRDefault="008634BD" w:rsidP="00E20836">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3D74BF">
        <w:rPr>
          <w:i/>
          <w:iCs/>
          <w:sz w:val="24"/>
          <w:szCs w:val="24"/>
        </w:rPr>
        <w:t>Discounted</w:t>
      </w:r>
      <w:proofErr w:type="spellEnd"/>
      <w:r w:rsidRPr="003D74BF">
        <w:rPr>
          <w:i/>
          <w:iCs/>
          <w:sz w:val="24"/>
          <w:szCs w:val="24"/>
        </w:rPr>
        <w:t xml:space="preserve"> Investment </w:t>
      </w:r>
      <w:proofErr w:type="spellStart"/>
      <w:r w:rsidRPr="003D74BF">
        <w:rPr>
          <w:i/>
          <w:iCs/>
          <w:sz w:val="24"/>
          <w:szCs w:val="24"/>
        </w:rPr>
        <w:t>Cost</w:t>
      </w:r>
      <w:proofErr w:type="spellEnd"/>
      <w:r w:rsidRPr="003D74BF">
        <w:rPr>
          <w:i/>
          <w:iCs/>
          <w:sz w:val="24"/>
          <w:szCs w:val="24"/>
        </w:rPr>
        <w:t xml:space="preserve"> – </w:t>
      </w:r>
      <w:r w:rsidRPr="003D74BF">
        <w:rPr>
          <w:sz w:val="24"/>
          <w:szCs w:val="24"/>
        </w:rPr>
        <w:t xml:space="preserve">DIC). </w:t>
      </w:r>
    </w:p>
    <w:p w:rsidR="003D74BF" w:rsidRDefault="003D74BF" w:rsidP="003D74BF">
      <w:pPr>
        <w:pStyle w:val="Bezodstpw"/>
        <w:spacing w:line="276" w:lineRule="auto"/>
        <w:jc w:val="both"/>
        <w:rPr>
          <w:sz w:val="24"/>
          <w:szCs w:val="24"/>
        </w:rPr>
      </w:pPr>
    </w:p>
    <w:p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w:t>
      </w:r>
      <w:r w:rsidR="00330BC0">
        <w:rPr>
          <w:sz w:val="24"/>
          <w:szCs w:val="24"/>
        </w:rPr>
        <w:br/>
      </w:r>
      <w:r w:rsidRPr="003D74BF">
        <w:rPr>
          <w:sz w:val="24"/>
          <w:szCs w:val="24"/>
        </w:rPr>
        <w:t xml:space="preserve">o dofinansowanie konieczność poniesienia tych nakładów dla zapewnienia operacyjności projektu. </w:t>
      </w:r>
    </w:p>
    <w:p w:rsidR="00B24B32" w:rsidRDefault="00B24B32" w:rsidP="003D74BF">
      <w:pPr>
        <w:pStyle w:val="Bezodstpw"/>
        <w:spacing w:line="276" w:lineRule="auto"/>
        <w:jc w:val="both"/>
        <w:rPr>
          <w:sz w:val="24"/>
          <w:szCs w:val="24"/>
        </w:rPr>
      </w:pPr>
    </w:p>
    <w:p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rsidR="003D74BF" w:rsidRPr="0065052A"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rsidR="00C82926" w:rsidRP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Default="00C82926" w:rsidP="00C82926">
      <w:pPr>
        <w:pStyle w:val="Bezodstpw"/>
        <w:spacing w:line="276" w:lineRule="auto"/>
        <w:jc w:val="both"/>
        <w:rPr>
          <w:sz w:val="24"/>
          <w:szCs w:val="24"/>
        </w:rPr>
      </w:pPr>
    </w:p>
    <w:p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r>
        <w:rPr>
          <w:b/>
          <w:bCs/>
          <w:sz w:val="24"/>
          <w:szCs w:val="24"/>
        </w:rPr>
        <w:t xml:space="preserve"> </w:t>
      </w:r>
      <w:r w:rsidRPr="00C82926">
        <w:rPr>
          <w:b/>
          <w:bCs/>
          <w:sz w:val="24"/>
          <w:szCs w:val="24"/>
        </w:rPr>
        <w:t xml:space="preserve"> </w:t>
      </w:r>
      <w:r w:rsidRPr="00C82926">
        <w:rPr>
          <w:sz w:val="24"/>
          <w:szCs w:val="24"/>
        </w:rPr>
        <w:t>projekty, które generują dochód w fazie operacyjnej – po zamknięciu fazy inwestycyjnej (patrz: definicja dochodu). Zgo</w:t>
      </w:r>
      <w:r w:rsidR="000E303D">
        <w:rPr>
          <w:sz w:val="24"/>
          <w:szCs w:val="24"/>
        </w:rPr>
        <w:t>dnie z art. 61 ust. 7 (punkty a</w:t>
      </w:r>
      <w:r w:rsidR="00045DB7">
        <w:rPr>
          <w:sz w:val="24"/>
          <w:szCs w:val="24"/>
        </w:rPr>
        <w:t>)</w:t>
      </w:r>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rsidR="00C82926" w:rsidRPr="00C82926" w:rsidRDefault="00C82926" w:rsidP="00C82926">
      <w:pPr>
        <w:pStyle w:val="Bezodstpw"/>
        <w:spacing w:line="276" w:lineRule="auto"/>
        <w:jc w:val="both"/>
        <w:rPr>
          <w:sz w:val="24"/>
          <w:szCs w:val="24"/>
        </w:rPr>
      </w:pPr>
      <w:r w:rsidRPr="00C82926">
        <w:rPr>
          <w:sz w:val="24"/>
          <w:szCs w:val="24"/>
        </w:rPr>
        <w:t xml:space="preserve">a) operacji lub części operacji finansowanych wyłącznie z Europejskiego Funduszu Społecznego; </w:t>
      </w:r>
    </w:p>
    <w:p w:rsidR="00C82926" w:rsidRPr="00C82926" w:rsidRDefault="00C82926" w:rsidP="00C82926">
      <w:pPr>
        <w:pStyle w:val="Bezodstpw"/>
        <w:spacing w:line="276" w:lineRule="auto"/>
        <w:jc w:val="both"/>
        <w:rPr>
          <w:sz w:val="24"/>
          <w:szCs w:val="24"/>
        </w:rPr>
      </w:pPr>
      <w:r w:rsidRPr="00C82926">
        <w:rPr>
          <w:sz w:val="24"/>
          <w:szCs w:val="24"/>
        </w:rPr>
        <w:lastRenderedPageBreak/>
        <w:t xml:space="preserve">b) operacji, których całkowity kwalifikowalny koszt przed zastosowaniem art. 61 ust. 1-6 rozporządzenia </w:t>
      </w:r>
      <w:r w:rsidR="00DB1ABB">
        <w:rPr>
          <w:sz w:val="24"/>
          <w:szCs w:val="24"/>
        </w:rPr>
        <w:br/>
      </w:r>
      <w:r w:rsidRPr="00C82926">
        <w:rPr>
          <w:sz w:val="24"/>
          <w:szCs w:val="24"/>
        </w:rPr>
        <w:t xml:space="preserve">nr 1303/2013 nie przekracza 1 000 000 EUR; </w:t>
      </w:r>
    </w:p>
    <w:p w:rsidR="00C82926" w:rsidRPr="00C82926" w:rsidRDefault="00C82926" w:rsidP="00C82926">
      <w:pPr>
        <w:pStyle w:val="Bezodstpw"/>
        <w:spacing w:line="276" w:lineRule="auto"/>
        <w:jc w:val="both"/>
        <w:rPr>
          <w:sz w:val="24"/>
          <w:szCs w:val="24"/>
        </w:rPr>
      </w:pPr>
      <w:r w:rsidRPr="00C82926">
        <w:rPr>
          <w:sz w:val="24"/>
          <w:szCs w:val="24"/>
        </w:rPr>
        <w:t xml:space="preserve">c) pomocy zwrotnej udzielonej z zastrzeżeniem obowiązku spłaty w całości ani nagród; </w:t>
      </w:r>
    </w:p>
    <w:p w:rsidR="00C82926" w:rsidRPr="00C82926" w:rsidRDefault="00C82926" w:rsidP="00C82926">
      <w:pPr>
        <w:pStyle w:val="Bezodstpw"/>
        <w:spacing w:line="276" w:lineRule="auto"/>
        <w:jc w:val="both"/>
        <w:rPr>
          <w:sz w:val="24"/>
          <w:szCs w:val="24"/>
        </w:rPr>
      </w:pPr>
      <w:r w:rsidRPr="00C82926">
        <w:rPr>
          <w:sz w:val="24"/>
          <w:szCs w:val="24"/>
        </w:rPr>
        <w:t xml:space="preserve">d) pomocy technicznej; </w:t>
      </w:r>
    </w:p>
    <w:p w:rsidR="00C82926" w:rsidRPr="00C82926" w:rsidRDefault="00C82926" w:rsidP="00C82926">
      <w:pPr>
        <w:pStyle w:val="Bezodstpw"/>
        <w:spacing w:line="276" w:lineRule="auto"/>
        <w:jc w:val="both"/>
        <w:rPr>
          <w:sz w:val="24"/>
          <w:szCs w:val="24"/>
        </w:rPr>
      </w:pPr>
      <w:r w:rsidRPr="00C82926">
        <w:rPr>
          <w:sz w:val="24"/>
          <w:szCs w:val="24"/>
        </w:rPr>
        <w:t xml:space="preserve">e) wparcia udzielanego instrumentom finansowym lub przez instrumenty finansowe; </w:t>
      </w:r>
    </w:p>
    <w:p w:rsidR="00C82926" w:rsidRPr="00C82926" w:rsidRDefault="00C82926" w:rsidP="00C82926">
      <w:pPr>
        <w:pStyle w:val="Bezodstpw"/>
        <w:spacing w:line="276" w:lineRule="auto"/>
        <w:jc w:val="both"/>
        <w:rPr>
          <w:sz w:val="24"/>
          <w:szCs w:val="24"/>
        </w:rPr>
      </w:pPr>
      <w:r w:rsidRPr="00C82926">
        <w:rPr>
          <w:sz w:val="24"/>
          <w:szCs w:val="24"/>
        </w:rPr>
        <w:t xml:space="preserve">f) operacji, dla których wydatki publiczne przyjmują postać kwot ryczałtowych lub standardowych stawek jednostkowych; </w:t>
      </w:r>
    </w:p>
    <w:p w:rsidR="00D21C28" w:rsidRPr="00D21C28" w:rsidRDefault="00C82926" w:rsidP="00C82926">
      <w:pPr>
        <w:pStyle w:val="Bezodstpw"/>
        <w:spacing w:line="276" w:lineRule="auto"/>
        <w:jc w:val="both"/>
        <w:rPr>
          <w:sz w:val="24"/>
          <w:szCs w:val="24"/>
        </w:rPr>
      </w:pPr>
      <w:r w:rsidRPr="00C82926">
        <w:rPr>
          <w:sz w:val="24"/>
          <w:szCs w:val="24"/>
        </w:rPr>
        <w:t>g) operacji realizowanych w ramach wspólnego planu działania</w:t>
      </w:r>
    </w:p>
    <w:p w:rsidR="00D45F09" w:rsidRPr="00D45F09" w:rsidRDefault="00D45F09" w:rsidP="00D45F09">
      <w:pPr>
        <w:pStyle w:val="Bezodstpw"/>
        <w:spacing w:line="276" w:lineRule="auto"/>
        <w:jc w:val="both"/>
        <w:rPr>
          <w:sz w:val="24"/>
          <w:szCs w:val="24"/>
        </w:rPr>
      </w:pPr>
      <w:r w:rsidRPr="00D45F09">
        <w:rPr>
          <w:sz w:val="24"/>
          <w:szCs w:val="24"/>
        </w:rPr>
        <w:t xml:space="preserve">h) operacji, dla których kwoty lub stawki wsparcia są określone w Załączniku nr 1 do rozporządzenia </w:t>
      </w:r>
      <w:r w:rsidR="00DB1ABB">
        <w:rPr>
          <w:sz w:val="24"/>
          <w:szCs w:val="24"/>
        </w:rPr>
        <w:br/>
      </w:r>
      <w:r w:rsidR="0011368F">
        <w:rPr>
          <w:sz w:val="24"/>
          <w:szCs w:val="24"/>
        </w:rPr>
        <w:t>w sprawie EFRROW</w:t>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i) operacji, dla których wsparcie w ramach programu stanowi: </w:t>
      </w:r>
    </w:p>
    <w:p w:rsidR="00D45F09" w:rsidRPr="00D45F09" w:rsidRDefault="00D45F09" w:rsidP="00D45F09">
      <w:pPr>
        <w:pStyle w:val="Bezodstpw"/>
        <w:spacing w:line="276" w:lineRule="auto"/>
        <w:jc w:val="both"/>
        <w:rPr>
          <w:sz w:val="24"/>
          <w:szCs w:val="24"/>
        </w:rPr>
      </w:pPr>
      <w:r w:rsidRPr="00D45F09">
        <w:rPr>
          <w:sz w:val="24"/>
          <w:szCs w:val="24"/>
        </w:rPr>
        <w:t xml:space="preserve">- pomoc </w:t>
      </w:r>
      <w:r w:rsidRPr="00D45F09">
        <w:rPr>
          <w:i/>
          <w:iCs/>
          <w:sz w:val="24"/>
          <w:szCs w:val="24"/>
        </w:rPr>
        <w:t xml:space="preserve">de minimis; </w:t>
      </w:r>
    </w:p>
    <w:p w:rsidR="00D45F09" w:rsidRPr="00D45F09" w:rsidRDefault="00D45F09" w:rsidP="00D45F09">
      <w:pPr>
        <w:pStyle w:val="Bezodstpw"/>
        <w:spacing w:line="276" w:lineRule="auto"/>
        <w:jc w:val="both"/>
        <w:rPr>
          <w:sz w:val="24"/>
          <w:szCs w:val="24"/>
        </w:rPr>
      </w:pPr>
      <w:r w:rsidRPr="00D45F09">
        <w:rPr>
          <w:i/>
          <w:iCs/>
          <w:sz w:val="24"/>
          <w:szCs w:val="24"/>
        </w:rPr>
        <w:t xml:space="preserve">- </w:t>
      </w:r>
      <w:r w:rsidRPr="00D45F09">
        <w:rPr>
          <w:sz w:val="24"/>
          <w:szCs w:val="24"/>
        </w:rPr>
        <w:t xml:space="preserve">zgodną z rynkiem wewnętrznym pomoc państwa dla MŚP, gdy stosuje się limit w zakresie dopuszczalnej intensywności lub kwoty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przypadku gdy przepisy krajowe tak stanowią. </w:t>
      </w:r>
    </w:p>
    <w:p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 xml:space="preserve">ex </w:t>
      </w:r>
      <w:proofErr w:type="spellStart"/>
      <w:r w:rsidRPr="00D45F09">
        <w:rPr>
          <w:i/>
          <w:iCs/>
          <w:sz w:val="24"/>
          <w:szCs w:val="24"/>
        </w:rPr>
        <w:t>ante</w:t>
      </w:r>
      <w:proofErr w:type="spellEnd"/>
      <w:r w:rsidRPr="00D45F09">
        <w:rPr>
          <w:sz w:val="24"/>
          <w:szCs w:val="24"/>
        </w:rPr>
        <w:t xml:space="preserve">) jest najczęściej innowacyjny charakter realizowanego projektu, pociągający za sobą brak danych bądź wcześniejszego doświadczenia z projektów podobnego rodzaju, które pozwoliłyby na wiarygodne </w:t>
      </w:r>
      <w:r w:rsidRPr="00D45F09">
        <w:rPr>
          <w:sz w:val="24"/>
          <w:szCs w:val="24"/>
        </w:rPr>
        <w:lastRenderedPageBreak/>
        <w:t xml:space="preserve">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rsidR="00685B9C" w:rsidRPr="00A75E47" w:rsidRDefault="00685B9C" w:rsidP="00A75E47">
      <w:pPr>
        <w:pStyle w:val="Bezodstpw"/>
        <w:spacing w:line="276" w:lineRule="auto"/>
        <w:jc w:val="both"/>
        <w:rPr>
          <w:kern w:val="32"/>
          <w:sz w:val="24"/>
          <w:szCs w:val="24"/>
        </w:rPr>
      </w:pPr>
    </w:p>
    <w:p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roofErr w:type="spellStart"/>
      <w:r>
        <w:rPr>
          <w:rFonts w:eastAsia="Times New Roman"/>
          <w:b/>
          <w:bCs/>
          <w:kern w:val="32"/>
          <w:sz w:val="24"/>
          <w:szCs w:val="24"/>
          <w:lang w:val="en-US"/>
        </w:rPr>
        <w:t>Przewodnik</w:t>
      </w:r>
      <w:proofErr w:type="spellEnd"/>
      <w:r>
        <w:rPr>
          <w:rFonts w:eastAsia="Times New Roman"/>
          <w:b/>
          <w:bCs/>
          <w:kern w:val="32"/>
          <w:sz w:val="24"/>
          <w:szCs w:val="24"/>
          <w:lang w:val="en-US"/>
        </w:rPr>
        <w:t xml:space="preserve">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w:t>
      </w:r>
      <w:proofErr w:type="spellStart"/>
      <w:r w:rsidR="003F258C" w:rsidRPr="008B3111">
        <w:rPr>
          <w:rFonts w:eastAsia="Times New Roman"/>
          <w:bCs/>
          <w:kern w:val="32"/>
          <w:sz w:val="24"/>
          <w:szCs w:val="24"/>
          <w:lang w:val="en-US"/>
        </w:rPr>
        <w:t>ang.</w:t>
      </w:r>
      <w:proofErr w:type="spellEnd"/>
      <w:r w:rsidR="003F258C" w:rsidRPr="008B3111">
        <w:rPr>
          <w:rFonts w:eastAsia="Times New Roman"/>
          <w:bCs/>
          <w:kern w:val="32"/>
          <w:sz w:val="24"/>
          <w:szCs w:val="24"/>
          <w:lang w:val="en-US"/>
        </w:rPr>
        <w:t xml:space="preserve">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rsidR="00543693" w:rsidRDefault="00543693" w:rsidP="00DB1ABB">
      <w:pPr>
        <w:autoSpaceDE w:val="0"/>
        <w:autoSpaceDN w:val="0"/>
        <w:adjustRightInd w:val="0"/>
        <w:spacing w:after="0"/>
        <w:jc w:val="both"/>
        <w:rPr>
          <w:rFonts w:cs="Calibri,Italic"/>
          <w:iCs/>
          <w:sz w:val="24"/>
          <w:szCs w:val="24"/>
        </w:rPr>
      </w:pPr>
    </w:p>
    <w:p w:rsidR="00FE717E" w:rsidRPr="00FE717E" w:rsidRDefault="00FE717E" w:rsidP="00FE717E">
      <w:pPr>
        <w:jc w:val="both"/>
        <w:rPr>
          <w:rFonts w:cs="Arial"/>
          <w:sz w:val="24"/>
          <w:szCs w:val="24"/>
        </w:rPr>
      </w:pPr>
      <w:r w:rsidRPr="00FE717E">
        <w:rPr>
          <w:b/>
          <w:sz w:val="24"/>
          <w:szCs w:val="24"/>
        </w:rPr>
        <w:t>Rozporządzenie ogólne w sprawie wyłączeń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r>
        <w:rPr>
          <w:rFonts w:eastAsia="Times New Roman"/>
          <w:b/>
          <w:bCs/>
          <w:kern w:val="32"/>
          <w:sz w:val="24"/>
          <w:szCs w:val="24"/>
        </w:rPr>
        <w:t xml:space="preserve">  </w:t>
      </w:r>
      <w:r w:rsidRPr="000010D7">
        <w:rPr>
          <w:rFonts w:eastAsia="Times New Roman"/>
          <w:bCs/>
          <w:kern w:val="32"/>
          <w:sz w:val="24"/>
          <w:szCs w:val="24"/>
        </w:rPr>
        <w:t>Regionalny Program Operacyjny Województwa Świętokrzyskiego na lata 2014 – 2020.</w:t>
      </w:r>
      <w:r w:rsidR="00DB1ABB">
        <w:rPr>
          <w:rFonts w:cs="Calibri,Italic"/>
          <w:bCs/>
          <w:iCs/>
          <w:sz w:val="24"/>
          <w:szCs w:val="24"/>
        </w:rPr>
        <w:t xml:space="preserve"> </w:t>
      </w:r>
    </w:p>
    <w:p w:rsidR="00DB1ABB" w:rsidRDefault="00DB1ABB" w:rsidP="00DB1ABB">
      <w:pPr>
        <w:autoSpaceDE w:val="0"/>
        <w:autoSpaceDN w:val="0"/>
        <w:adjustRightInd w:val="0"/>
        <w:spacing w:after="0"/>
        <w:jc w:val="both"/>
        <w:rPr>
          <w:rFonts w:cs="Calibri,Italic"/>
          <w:bCs/>
          <w:iCs/>
          <w:sz w:val="24"/>
          <w:szCs w:val="24"/>
        </w:rPr>
      </w:pPr>
    </w:p>
    <w:p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lastRenderedPageBreak/>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DB1ABB" w:rsidRDefault="00DB1ABB" w:rsidP="00DB1ABB">
      <w:pPr>
        <w:autoSpaceDE w:val="0"/>
        <w:autoSpaceDN w:val="0"/>
        <w:adjustRightInd w:val="0"/>
        <w:spacing w:after="0"/>
        <w:jc w:val="both"/>
        <w:rPr>
          <w:rFonts w:cs="Calibri,Italic"/>
          <w:bCs/>
          <w:iCs/>
          <w:sz w:val="24"/>
          <w:szCs w:val="24"/>
        </w:rPr>
      </w:pPr>
    </w:p>
    <w:p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rsidR="00084475" w:rsidRDefault="00084475" w:rsidP="00FE3459">
      <w:pPr>
        <w:autoSpaceDE w:val="0"/>
        <w:autoSpaceDN w:val="0"/>
        <w:adjustRightInd w:val="0"/>
        <w:spacing w:after="0"/>
        <w:jc w:val="both"/>
        <w:rPr>
          <w:rFonts w:cs="Calibri,Italic"/>
          <w:bCs/>
          <w:iCs/>
          <w:sz w:val="24"/>
          <w:szCs w:val="24"/>
        </w:rPr>
      </w:pPr>
    </w:p>
    <w:p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rsidR="00FE3459" w:rsidRDefault="00FE3459" w:rsidP="00FE3459">
      <w:pPr>
        <w:autoSpaceDE w:val="0"/>
        <w:autoSpaceDN w:val="0"/>
        <w:adjustRightInd w:val="0"/>
        <w:spacing w:after="0"/>
        <w:jc w:val="both"/>
        <w:rPr>
          <w:rFonts w:cs="Calibri,Italic"/>
          <w:bCs/>
          <w:iCs/>
          <w:sz w:val="24"/>
          <w:szCs w:val="24"/>
        </w:rPr>
      </w:pPr>
    </w:p>
    <w:p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rsidR="00FE3459" w:rsidRDefault="00FE3459" w:rsidP="00FE3459">
      <w:pPr>
        <w:autoSpaceDE w:val="0"/>
        <w:autoSpaceDN w:val="0"/>
        <w:adjustRightInd w:val="0"/>
        <w:spacing w:after="0"/>
        <w:jc w:val="both"/>
        <w:rPr>
          <w:rFonts w:cs="Calibri,Italic"/>
          <w:bCs/>
          <w:iCs/>
          <w:sz w:val="24"/>
          <w:szCs w:val="24"/>
        </w:rPr>
      </w:pPr>
    </w:p>
    <w:p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rsidR="00543693" w:rsidRDefault="00543693" w:rsidP="00FE3459">
      <w:pPr>
        <w:autoSpaceDE w:val="0"/>
        <w:autoSpaceDN w:val="0"/>
        <w:adjustRightInd w:val="0"/>
        <w:spacing w:after="0"/>
        <w:jc w:val="both"/>
        <w:rPr>
          <w:rFonts w:eastAsia="Times New Roman"/>
          <w:b/>
          <w:bCs/>
          <w:kern w:val="32"/>
          <w:sz w:val="24"/>
          <w:szCs w:val="24"/>
        </w:rPr>
      </w:pPr>
    </w:p>
    <w:p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w:t>
      </w:r>
      <w:proofErr w:type="spellStart"/>
      <w:r w:rsidRPr="000010D7">
        <w:rPr>
          <w:rFonts w:eastAsia="Times New Roman"/>
          <w:bCs/>
          <w:kern w:val="32"/>
          <w:sz w:val="24"/>
          <w:szCs w:val="24"/>
        </w:rPr>
        <w:t>póź</w:t>
      </w:r>
      <w:proofErr w:type="spellEnd"/>
      <w:r w:rsidRPr="000010D7">
        <w:rPr>
          <w:rFonts w:eastAsia="Times New Roman"/>
          <w:bCs/>
          <w:kern w:val="32"/>
          <w:sz w:val="24"/>
          <w:szCs w:val="24"/>
        </w:rPr>
        <w:t>. zm.)</w:t>
      </w:r>
      <w:r>
        <w:rPr>
          <w:rFonts w:eastAsia="Times New Roman"/>
          <w:bCs/>
          <w:kern w:val="32"/>
          <w:sz w:val="24"/>
          <w:szCs w:val="24"/>
        </w:rPr>
        <w:t>.</w:t>
      </w:r>
      <w:r w:rsidR="00FE3459">
        <w:rPr>
          <w:rFonts w:eastAsia="Times New Roman"/>
          <w:bCs/>
          <w:kern w:val="32"/>
          <w:sz w:val="24"/>
          <w:szCs w:val="24"/>
        </w:rPr>
        <w:t xml:space="preserve"> </w:t>
      </w:r>
    </w:p>
    <w:p w:rsidR="00FE3459" w:rsidRDefault="00FE3459" w:rsidP="00FE3459">
      <w:pPr>
        <w:autoSpaceDE w:val="0"/>
        <w:autoSpaceDN w:val="0"/>
        <w:adjustRightInd w:val="0"/>
        <w:spacing w:after="0"/>
        <w:jc w:val="both"/>
        <w:rPr>
          <w:rFonts w:eastAsia="Times New Roman"/>
          <w:bCs/>
          <w:kern w:val="32"/>
          <w:sz w:val="24"/>
          <w:szCs w:val="24"/>
        </w:rPr>
      </w:pPr>
    </w:p>
    <w:p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rsidR="00084475" w:rsidRDefault="00084475" w:rsidP="008C5155">
      <w:pPr>
        <w:pStyle w:val="Bezodstpw"/>
        <w:spacing w:line="276" w:lineRule="auto"/>
        <w:jc w:val="both"/>
        <w:rPr>
          <w:kern w:val="32"/>
          <w:sz w:val="24"/>
          <w:szCs w:val="24"/>
        </w:rPr>
      </w:pPr>
    </w:p>
    <w:p w:rsidR="00084475" w:rsidRDefault="00084475" w:rsidP="008C5155">
      <w:pPr>
        <w:pStyle w:val="Bezodstpw"/>
        <w:spacing w:line="276" w:lineRule="auto"/>
        <w:jc w:val="both"/>
        <w:rPr>
          <w:kern w:val="32"/>
          <w:sz w:val="24"/>
          <w:szCs w:val="24"/>
        </w:rPr>
      </w:pPr>
      <w:proofErr w:type="spellStart"/>
      <w:r w:rsidRPr="00084475">
        <w:rPr>
          <w:b/>
          <w:kern w:val="32"/>
          <w:sz w:val="24"/>
          <w:szCs w:val="24"/>
        </w:rPr>
        <w:t>WoD</w:t>
      </w:r>
      <w:proofErr w:type="spellEnd"/>
      <w:r>
        <w:rPr>
          <w:kern w:val="32"/>
          <w:sz w:val="24"/>
          <w:szCs w:val="24"/>
        </w:rPr>
        <w:t xml:space="preserve"> – Wniosek o dofinansowanie.</w:t>
      </w:r>
    </w:p>
    <w:p w:rsidR="008C5155" w:rsidRDefault="008C5155" w:rsidP="008C5155">
      <w:pPr>
        <w:pStyle w:val="Bezodstpw"/>
        <w:spacing w:line="276" w:lineRule="auto"/>
        <w:jc w:val="both"/>
        <w:rPr>
          <w:kern w:val="32"/>
          <w:sz w:val="24"/>
          <w:szCs w:val="24"/>
        </w:rPr>
      </w:pPr>
    </w:p>
    <w:p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rsidR="008C5155" w:rsidRDefault="008C5155" w:rsidP="008C5155">
      <w:pPr>
        <w:pStyle w:val="Bezodstpw"/>
        <w:spacing w:line="276" w:lineRule="auto"/>
        <w:jc w:val="both"/>
        <w:rPr>
          <w:kern w:val="32"/>
          <w:sz w:val="24"/>
          <w:szCs w:val="24"/>
        </w:rPr>
      </w:pPr>
    </w:p>
    <w:p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 </w:t>
      </w:r>
      <w:r>
        <w:rPr>
          <w:i/>
          <w:iCs/>
          <w:sz w:val="24"/>
          <w:szCs w:val="24"/>
        </w:rPr>
        <w:t xml:space="preserve"> Wytyczne</w:t>
      </w:r>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rsidR="00D82561" w:rsidRDefault="00D82561" w:rsidP="008C5155">
      <w:pPr>
        <w:pStyle w:val="Bezodstpw"/>
        <w:spacing w:line="276" w:lineRule="auto"/>
        <w:jc w:val="both"/>
        <w:rPr>
          <w:i/>
          <w:iCs/>
          <w:sz w:val="24"/>
          <w:szCs w:val="24"/>
        </w:rPr>
      </w:pPr>
    </w:p>
    <w:p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rsidR="008C5155" w:rsidRDefault="008C5155" w:rsidP="008C5155">
      <w:pPr>
        <w:pStyle w:val="Bezodstpw"/>
        <w:spacing w:line="276" w:lineRule="auto"/>
        <w:jc w:val="both"/>
        <w:rPr>
          <w:kern w:val="32"/>
          <w:sz w:val="24"/>
          <w:szCs w:val="24"/>
        </w:rPr>
      </w:pPr>
    </w:p>
    <w:p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proofErr w:type="spellStart"/>
      <w:r w:rsidRPr="008C5155">
        <w:rPr>
          <w:i/>
          <w:iCs/>
          <w:kern w:val="32"/>
          <w:sz w:val="24"/>
          <w:szCs w:val="24"/>
        </w:rPr>
        <w:t>flat</w:t>
      </w:r>
      <w:proofErr w:type="spellEnd"/>
      <w:r w:rsidRPr="008C5155">
        <w:rPr>
          <w:i/>
          <w:iCs/>
          <w:kern w:val="32"/>
          <w:sz w:val="24"/>
          <w:szCs w:val="24"/>
        </w:rPr>
        <w:t xml:space="preserve"> </w:t>
      </w:r>
      <w:proofErr w:type="spellStart"/>
      <w:r w:rsidRPr="008C5155">
        <w:rPr>
          <w:i/>
          <w:iCs/>
          <w:kern w:val="32"/>
          <w:sz w:val="24"/>
          <w:szCs w:val="24"/>
        </w:rPr>
        <w:t>rate</w:t>
      </w:r>
      <w:proofErr w:type="spellEnd"/>
      <w:r w:rsidRPr="008C5155">
        <w:rPr>
          <w:i/>
          <w:iCs/>
          <w:kern w:val="32"/>
          <w:sz w:val="24"/>
          <w:szCs w:val="24"/>
        </w:rPr>
        <w:t xml:space="preserve"> net </w:t>
      </w:r>
      <w:proofErr w:type="spellStart"/>
      <w:r w:rsidRPr="008C5155">
        <w:rPr>
          <w:i/>
          <w:iCs/>
          <w:kern w:val="32"/>
          <w:sz w:val="24"/>
          <w:szCs w:val="24"/>
        </w:rPr>
        <w:t>revenue</w:t>
      </w:r>
      <w:proofErr w:type="spellEnd"/>
      <w:r w:rsidRPr="008C5155">
        <w:rPr>
          <w:i/>
          <w:iCs/>
          <w:kern w:val="32"/>
          <w:sz w:val="24"/>
          <w:szCs w:val="24"/>
        </w:rPr>
        <w:t xml:space="preserve"> </w:t>
      </w:r>
      <w:proofErr w:type="spellStart"/>
      <w:r w:rsidRPr="008C5155">
        <w:rPr>
          <w:i/>
          <w:iCs/>
          <w:kern w:val="32"/>
          <w:sz w:val="24"/>
          <w:szCs w:val="24"/>
        </w:rPr>
        <w:t>percentage</w:t>
      </w:r>
      <w:proofErr w:type="spellEnd"/>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rsidR="00234A67" w:rsidRPr="008C5155" w:rsidRDefault="00234A67" w:rsidP="008C5155">
      <w:pPr>
        <w:jc w:val="both"/>
        <w:rPr>
          <w:sz w:val="24"/>
          <w:szCs w:val="24"/>
        </w:rPr>
      </w:pPr>
    </w:p>
    <w:p w:rsidR="00A71D18" w:rsidRDefault="00A71D18" w:rsidP="009C03B2">
      <w:pPr>
        <w:pStyle w:val="Nagwek1"/>
        <w:numPr>
          <w:ilvl w:val="0"/>
          <w:numId w:val="3"/>
        </w:numPr>
        <w:ind w:left="567" w:hanging="567"/>
      </w:pPr>
      <w:bookmarkStart w:id="2" w:name="_Toc514928877"/>
      <w:r>
        <w:t>Identyfikacja projektu</w:t>
      </w:r>
      <w:bookmarkEnd w:id="2"/>
    </w:p>
    <w:p w:rsidR="00C11BA3" w:rsidRPr="007754E4" w:rsidRDefault="00C11BA3" w:rsidP="005C0085">
      <w:pPr>
        <w:pStyle w:val="Bezodstpw"/>
      </w:pPr>
    </w:p>
    <w:p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t xml:space="preserve">że efektem realizacji projektu jest stworzenie w pełni funkcjonalnej i operacyjnej infrastruktury, bez konieczności realizacji dodatkowych zadań inwestycyjnych nie uwzględnionych w tym projekcie. </w:t>
      </w:r>
    </w:p>
    <w:p w:rsidR="0085490C" w:rsidRPr="00B54E3C" w:rsidRDefault="0085490C" w:rsidP="0085490C">
      <w:pPr>
        <w:pStyle w:val="Bezodstpw"/>
        <w:spacing w:line="276" w:lineRule="auto"/>
        <w:jc w:val="both"/>
        <w:rPr>
          <w:sz w:val="24"/>
          <w:szCs w:val="24"/>
        </w:rPr>
      </w:pPr>
      <w:r>
        <w:rPr>
          <w:sz w:val="24"/>
          <w:szCs w:val="24"/>
        </w:rPr>
        <w:t xml:space="preserve">W sytuacji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rsidR="00543693" w:rsidRPr="00543693" w:rsidRDefault="00543693" w:rsidP="00543693">
      <w:pPr>
        <w:pStyle w:val="Bezodstpw"/>
        <w:spacing w:line="276" w:lineRule="auto"/>
        <w:jc w:val="both"/>
        <w:rPr>
          <w:iCs/>
          <w:sz w:val="24"/>
          <w:szCs w:val="24"/>
        </w:rPr>
      </w:pPr>
      <w:r w:rsidRPr="00543693">
        <w:rPr>
          <w:iCs/>
          <w:sz w:val="24"/>
          <w:szCs w:val="24"/>
        </w:rPr>
        <w:lastRenderedPageBreak/>
        <w:t xml:space="preserve">Identyfikacja projektu wymaga w szczególności ustalenia: </w:t>
      </w:r>
    </w:p>
    <w:p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rsidR="00A71D18" w:rsidRDefault="00A71D18" w:rsidP="00A71D18">
      <w:pPr>
        <w:pStyle w:val="Nagwek2"/>
        <w:numPr>
          <w:ilvl w:val="1"/>
          <w:numId w:val="4"/>
        </w:numPr>
        <w:ind w:left="567" w:hanging="567"/>
        <w:rPr>
          <w:i w:val="0"/>
        </w:rPr>
      </w:pPr>
      <w:r w:rsidRPr="00A71D18">
        <w:rPr>
          <w:i w:val="0"/>
        </w:rPr>
        <w:t xml:space="preserve"> </w:t>
      </w:r>
      <w:bookmarkStart w:id="3" w:name="_Toc514928878"/>
      <w:r w:rsidRPr="00A71D18">
        <w:rPr>
          <w:i w:val="0"/>
        </w:rPr>
        <w:t>Podstawowe dane o projekcie</w:t>
      </w:r>
      <w:bookmarkEnd w:id="3"/>
    </w:p>
    <w:p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4728"/>
      </w:tblGrid>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Wnioskodawca (nazwa, dane teleadresowe)</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A71D18" w:rsidP="00A71D18">
            <w:pPr>
              <w:rPr>
                <w:sz w:val="20"/>
                <w:szCs w:val="20"/>
              </w:rPr>
            </w:pPr>
            <w:r w:rsidRPr="0033476B">
              <w:rPr>
                <w:sz w:val="20"/>
                <w:szCs w:val="20"/>
              </w:rPr>
              <w:t>Tytuł projektu</w:t>
            </w:r>
          </w:p>
        </w:tc>
        <w:tc>
          <w:tcPr>
            <w:tcW w:w="4728" w:type="dxa"/>
          </w:tcPr>
          <w:p w:rsidR="00A71D18" w:rsidRPr="0033476B" w:rsidRDefault="00A71D18" w:rsidP="00A71D18">
            <w:pPr>
              <w:rPr>
                <w:sz w:val="20"/>
                <w:szCs w:val="20"/>
              </w:rPr>
            </w:pPr>
          </w:p>
        </w:tc>
      </w:tr>
      <w:tr w:rsidR="00FE3459" w:rsidRPr="0033476B" w:rsidTr="0070183D">
        <w:trPr>
          <w:jc w:val="center"/>
        </w:trPr>
        <w:tc>
          <w:tcPr>
            <w:tcW w:w="6187" w:type="dxa"/>
          </w:tcPr>
          <w:p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rsidR="00FE3459" w:rsidRPr="0033476B" w:rsidRDefault="00FE3459"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Cel szczegółowy działania</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Całkowity koszt projektu (PLN)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rsidR="00A71D18" w:rsidRPr="0033476B" w:rsidRDefault="00A71D18" w:rsidP="00A71D18">
            <w:pPr>
              <w:rPr>
                <w:sz w:val="20"/>
                <w:szCs w:val="20"/>
              </w:rPr>
            </w:pPr>
          </w:p>
        </w:tc>
      </w:tr>
      <w:tr w:rsidR="00A71D18" w:rsidRPr="0033476B" w:rsidTr="0070183D">
        <w:trPr>
          <w:jc w:val="center"/>
        </w:trPr>
        <w:tc>
          <w:tcPr>
            <w:tcW w:w="6187" w:type="dxa"/>
          </w:tcPr>
          <w:p w:rsidR="00A71D18" w:rsidRPr="0033476B" w:rsidRDefault="009C03B2" w:rsidP="00A71D18">
            <w:pPr>
              <w:rPr>
                <w:sz w:val="20"/>
                <w:szCs w:val="20"/>
              </w:rPr>
            </w:pPr>
            <w:r w:rsidRPr="0033476B">
              <w:rPr>
                <w:sz w:val="20"/>
                <w:szCs w:val="20"/>
              </w:rPr>
              <w:t>Wnioskowana kwota dofinansowania z EFRR</w:t>
            </w:r>
          </w:p>
        </w:tc>
        <w:tc>
          <w:tcPr>
            <w:tcW w:w="4728" w:type="dxa"/>
          </w:tcPr>
          <w:p w:rsidR="00A71D18" w:rsidRPr="0033476B" w:rsidRDefault="00A71D18" w:rsidP="00A71D18">
            <w:pPr>
              <w:rPr>
                <w:sz w:val="20"/>
                <w:szCs w:val="20"/>
              </w:rPr>
            </w:pPr>
          </w:p>
        </w:tc>
      </w:tr>
      <w:tr w:rsidR="009C03B2" w:rsidRPr="0033476B" w:rsidTr="0070183D">
        <w:trPr>
          <w:trHeight w:val="592"/>
          <w:jc w:val="center"/>
        </w:trPr>
        <w:tc>
          <w:tcPr>
            <w:tcW w:w="6187" w:type="dxa"/>
          </w:tcPr>
          <w:p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rsidR="009C03B2" w:rsidRPr="0033476B" w:rsidRDefault="009C03B2" w:rsidP="00A71D18">
            <w:pPr>
              <w:rPr>
                <w:sz w:val="20"/>
                <w:szCs w:val="20"/>
              </w:rPr>
            </w:pPr>
          </w:p>
        </w:tc>
      </w:tr>
      <w:tr w:rsidR="009C03B2" w:rsidRPr="0033476B" w:rsidTr="0070183D">
        <w:trPr>
          <w:jc w:val="center"/>
        </w:trPr>
        <w:tc>
          <w:tcPr>
            <w:tcW w:w="6187" w:type="dxa"/>
          </w:tcPr>
          <w:p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rsidR="009C03B2" w:rsidRPr="0033476B" w:rsidRDefault="009C03B2" w:rsidP="00A71D18">
            <w:pPr>
              <w:rPr>
                <w:sz w:val="20"/>
                <w:szCs w:val="20"/>
              </w:rPr>
            </w:pPr>
          </w:p>
        </w:tc>
      </w:tr>
      <w:tr w:rsidR="00C3322E" w:rsidRPr="0033476B" w:rsidTr="0070183D">
        <w:trPr>
          <w:jc w:val="center"/>
        </w:trPr>
        <w:tc>
          <w:tcPr>
            <w:tcW w:w="6187" w:type="dxa"/>
          </w:tcPr>
          <w:p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rsidR="00C3322E" w:rsidRPr="0033476B" w:rsidRDefault="00C3322E" w:rsidP="00A71D18">
            <w:pPr>
              <w:rPr>
                <w:sz w:val="20"/>
                <w:szCs w:val="20"/>
              </w:rPr>
            </w:pPr>
          </w:p>
        </w:tc>
      </w:tr>
    </w:tbl>
    <w:p w:rsidR="00A71D18" w:rsidRPr="00BE57B0" w:rsidRDefault="00A71D18" w:rsidP="0056093D">
      <w:pPr>
        <w:pStyle w:val="Nagwek2"/>
        <w:numPr>
          <w:ilvl w:val="1"/>
          <w:numId w:val="4"/>
        </w:numPr>
        <w:rPr>
          <w:i w:val="0"/>
        </w:rPr>
      </w:pPr>
      <w:bookmarkStart w:id="4" w:name="_Toc514928879"/>
      <w:r w:rsidRPr="00BE57B0">
        <w:rPr>
          <w:i w:val="0"/>
        </w:rPr>
        <w:t>Opis stanu aktualn</w:t>
      </w:r>
      <w:r w:rsidR="0094244F">
        <w:rPr>
          <w:i w:val="0"/>
        </w:rPr>
        <w:t>ego (przed realizacją</w:t>
      </w:r>
      <w:r w:rsidRPr="00BE57B0">
        <w:rPr>
          <w:i w:val="0"/>
        </w:rPr>
        <w:t>)</w:t>
      </w:r>
      <w:bookmarkEnd w:id="4"/>
    </w:p>
    <w:p w:rsidR="00A71D18" w:rsidRDefault="00A71D18" w:rsidP="005C0085">
      <w:pPr>
        <w:pStyle w:val="Bezodstpw"/>
      </w:pPr>
    </w:p>
    <w:p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rsidR="0056093D" w:rsidRPr="00307B38" w:rsidRDefault="0056093D" w:rsidP="00B97187">
      <w:pPr>
        <w:pStyle w:val="Default"/>
        <w:spacing w:line="276" w:lineRule="auto"/>
        <w:jc w:val="both"/>
        <w:rPr>
          <w:rFonts w:ascii="Calibri" w:hAnsi="Calibri"/>
        </w:rPr>
      </w:pPr>
      <w:r w:rsidRPr="00AF1079">
        <w:rPr>
          <w:rFonts w:ascii="Calibri" w:hAnsi="Calibri"/>
        </w:rPr>
        <w:lastRenderedPageBreak/>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rsidR="00F96C73" w:rsidRPr="00F96C73" w:rsidRDefault="0093792E" w:rsidP="00F96C73">
      <w:pPr>
        <w:pStyle w:val="Nagwek2"/>
        <w:numPr>
          <w:ilvl w:val="1"/>
          <w:numId w:val="4"/>
        </w:numPr>
        <w:rPr>
          <w:rFonts w:eastAsia="ArialNarrow,Bold"/>
          <w:i w:val="0"/>
        </w:rPr>
      </w:pPr>
      <w:bookmarkStart w:id="5" w:name="_Toc514928880"/>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5"/>
    </w:p>
    <w:p w:rsidR="00F96C73" w:rsidRDefault="00F96C73" w:rsidP="005C0085">
      <w:pPr>
        <w:pStyle w:val="Bezodstpw"/>
      </w:pPr>
    </w:p>
    <w:p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rsidR="00FE5487" w:rsidRPr="00896BFB" w:rsidRDefault="00B54E3C" w:rsidP="008F740D">
      <w:pPr>
        <w:spacing w:after="0"/>
        <w:jc w:val="both"/>
        <w:rPr>
          <w:b/>
          <w:color w:val="FF0000"/>
          <w:sz w:val="24"/>
          <w:szCs w:val="24"/>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3"/>
        <w:gridCol w:w="1721"/>
        <w:gridCol w:w="1763"/>
        <w:gridCol w:w="1747"/>
        <w:gridCol w:w="1758"/>
      </w:tblGrid>
      <w:tr w:rsidR="00926ED6" w:rsidRPr="003F3A90" w:rsidTr="004A4CA3">
        <w:trPr>
          <w:jc w:val="center"/>
        </w:trPr>
        <w:tc>
          <w:tcPr>
            <w:tcW w:w="675" w:type="dxa"/>
          </w:tcPr>
          <w:p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rsidTr="004A4CA3">
        <w:trPr>
          <w:jc w:val="center"/>
        </w:trPr>
        <w:tc>
          <w:tcPr>
            <w:tcW w:w="675" w:type="dxa"/>
          </w:tcPr>
          <w:p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2</w:t>
            </w:r>
          </w:p>
        </w:tc>
        <w:tc>
          <w:tcPr>
            <w:tcW w:w="2673" w:type="dxa"/>
          </w:tcPr>
          <w:p w:rsidR="00926ED6" w:rsidRPr="003F3A90" w:rsidRDefault="0085490C" w:rsidP="007B1169">
            <w:pPr>
              <w:spacing w:after="0" w:line="240" w:lineRule="auto"/>
              <w:rPr>
                <w:sz w:val="20"/>
                <w:szCs w:val="20"/>
              </w:rPr>
            </w:pPr>
            <w:r w:rsidRPr="003F3A90">
              <w:rPr>
                <w:sz w:val="20"/>
                <w:szCs w:val="20"/>
              </w:rPr>
              <w:t>Zakup gruntu</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06218A" w:rsidP="007B1169">
            <w:pPr>
              <w:spacing w:after="0" w:line="240" w:lineRule="auto"/>
              <w:jc w:val="center"/>
              <w:rPr>
                <w:sz w:val="20"/>
                <w:szCs w:val="20"/>
              </w:rPr>
            </w:pPr>
            <w:r>
              <w:rPr>
                <w:sz w:val="20"/>
                <w:szCs w:val="20"/>
              </w:rPr>
              <w:t>3</w:t>
            </w:r>
          </w:p>
        </w:tc>
        <w:tc>
          <w:tcPr>
            <w:tcW w:w="2673" w:type="dxa"/>
          </w:tcPr>
          <w:p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896BFB" w:rsidRPr="003F3A90" w:rsidTr="004A4CA3">
        <w:trPr>
          <w:jc w:val="center"/>
        </w:trPr>
        <w:tc>
          <w:tcPr>
            <w:tcW w:w="675" w:type="dxa"/>
          </w:tcPr>
          <w:p w:rsidR="00896BFB" w:rsidRPr="003F3A90" w:rsidRDefault="00896BFB" w:rsidP="007B1169">
            <w:pPr>
              <w:spacing w:after="0" w:line="240" w:lineRule="auto"/>
              <w:jc w:val="center"/>
              <w:rPr>
                <w:sz w:val="20"/>
                <w:szCs w:val="20"/>
              </w:rPr>
            </w:pPr>
          </w:p>
        </w:tc>
        <w:tc>
          <w:tcPr>
            <w:tcW w:w="2673" w:type="dxa"/>
          </w:tcPr>
          <w:p w:rsidR="00896BFB" w:rsidRPr="003F3A90" w:rsidRDefault="0006218A" w:rsidP="007B1169">
            <w:pPr>
              <w:spacing w:after="0" w:line="240" w:lineRule="auto"/>
              <w:rPr>
                <w:sz w:val="20"/>
                <w:szCs w:val="20"/>
              </w:rPr>
            </w:pPr>
            <w:r>
              <w:rPr>
                <w:sz w:val="20"/>
                <w:szCs w:val="20"/>
              </w:rPr>
              <w:t>w tym:</w:t>
            </w:r>
          </w:p>
        </w:tc>
        <w:tc>
          <w:tcPr>
            <w:tcW w:w="1721" w:type="dxa"/>
          </w:tcPr>
          <w:p w:rsidR="00896BFB" w:rsidRPr="003F3A90" w:rsidRDefault="00896BFB" w:rsidP="002517D7">
            <w:pPr>
              <w:spacing w:after="0" w:line="240" w:lineRule="auto"/>
              <w:jc w:val="both"/>
              <w:rPr>
                <w:sz w:val="20"/>
                <w:szCs w:val="20"/>
              </w:rPr>
            </w:pPr>
          </w:p>
        </w:tc>
        <w:tc>
          <w:tcPr>
            <w:tcW w:w="1763" w:type="dxa"/>
          </w:tcPr>
          <w:p w:rsidR="00896BFB" w:rsidRPr="003F3A90" w:rsidRDefault="00896BFB" w:rsidP="002517D7">
            <w:pPr>
              <w:spacing w:after="0" w:line="240" w:lineRule="auto"/>
              <w:jc w:val="both"/>
              <w:rPr>
                <w:sz w:val="20"/>
                <w:szCs w:val="20"/>
              </w:rPr>
            </w:pPr>
          </w:p>
        </w:tc>
        <w:tc>
          <w:tcPr>
            <w:tcW w:w="1747" w:type="dxa"/>
          </w:tcPr>
          <w:p w:rsidR="00896BFB" w:rsidRPr="003F3A90" w:rsidRDefault="00896BFB" w:rsidP="002517D7">
            <w:pPr>
              <w:spacing w:after="0" w:line="240" w:lineRule="auto"/>
              <w:jc w:val="both"/>
              <w:rPr>
                <w:sz w:val="20"/>
                <w:szCs w:val="20"/>
              </w:rPr>
            </w:pPr>
          </w:p>
        </w:tc>
        <w:tc>
          <w:tcPr>
            <w:tcW w:w="1758" w:type="dxa"/>
          </w:tcPr>
          <w:p w:rsidR="00896BFB" w:rsidRPr="003F3A90" w:rsidRDefault="00896BFB" w:rsidP="002517D7">
            <w:pPr>
              <w:spacing w:after="0" w:line="240" w:lineRule="auto"/>
              <w:jc w:val="both"/>
              <w:rPr>
                <w:sz w:val="20"/>
                <w:szCs w:val="20"/>
              </w:rPr>
            </w:pPr>
          </w:p>
        </w:tc>
      </w:tr>
      <w:tr w:rsidR="0006218A" w:rsidRPr="003F3A90" w:rsidTr="004A4CA3">
        <w:trPr>
          <w:jc w:val="center"/>
        </w:trPr>
        <w:tc>
          <w:tcPr>
            <w:tcW w:w="675" w:type="dxa"/>
          </w:tcPr>
          <w:p w:rsidR="0006218A" w:rsidRDefault="0006218A" w:rsidP="007B1169">
            <w:pPr>
              <w:spacing w:after="0" w:line="240" w:lineRule="auto"/>
              <w:jc w:val="center"/>
              <w:rPr>
                <w:sz w:val="20"/>
                <w:szCs w:val="20"/>
              </w:rPr>
            </w:pPr>
          </w:p>
        </w:tc>
        <w:tc>
          <w:tcPr>
            <w:tcW w:w="2673" w:type="dxa"/>
          </w:tcPr>
          <w:p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w:t>
            </w:r>
            <w:r w:rsidRPr="0033476B">
              <w:rPr>
                <w:b/>
                <w:sz w:val="20"/>
                <w:szCs w:val="20"/>
              </w:rPr>
              <w:lastRenderedPageBreak/>
              <w:t>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
        </w:tc>
        <w:tc>
          <w:tcPr>
            <w:tcW w:w="1721" w:type="dxa"/>
          </w:tcPr>
          <w:p w:rsidR="0006218A" w:rsidRPr="003F3A90" w:rsidRDefault="0006218A" w:rsidP="002517D7">
            <w:pPr>
              <w:spacing w:after="0" w:line="240" w:lineRule="auto"/>
              <w:jc w:val="both"/>
              <w:rPr>
                <w:sz w:val="20"/>
                <w:szCs w:val="20"/>
              </w:rPr>
            </w:pPr>
          </w:p>
        </w:tc>
        <w:tc>
          <w:tcPr>
            <w:tcW w:w="1763" w:type="dxa"/>
          </w:tcPr>
          <w:p w:rsidR="0006218A" w:rsidRPr="003F3A90" w:rsidRDefault="0006218A" w:rsidP="002517D7">
            <w:pPr>
              <w:spacing w:after="0" w:line="240" w:lineRule="auto"/>
              <w:jc w:val="both"/>
              <w:rPr>
                <w:sz w:val="20"/>
                <w:szCs w:val="20"/>
              </w:rPr>
            </w:pPr>
          </w:p>
        </w:tc>
        <w:tc>
          <w:tcPr>
            <w:tcW w:w="1747" w:type="dxa"/>
          </w:tcPr>
          <w:p w:rsidR="0006218A" w:rsidRPr="003F3A90" w:rsidRDefault="0006218A" w:rsidP="002517D7">
            <w:pPr>
              <w:spacing w:after="0" w:line="240" w:lineRule="auto"/>
              <w:jc w:val="both"/>
              <w:rPr>
                <w:sz w:val="20"/>
                <w:szCs w:val="20"/>
              </w:rPr>
            </w:pPr>
          </w:p>
        </w:tc>
        <w:tc>
          <w:tcPr>
            <w:tcW w:w="1758" w:type="dxa"/>
          </w:tcPr>
          <w:p w:rsidR="0006218A" w:rsidRPr="003F3A90" w:rsidRDefault="0006218A" w:rsidP="002517D7">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4</w:t>
            </w:r>
          </w:p>
        </w:tc>
        <w:tc>
          <w:tcPr>
            <w:tcW w:w="2673" w:type="dxa"/>
          </w:tcPr>
          <w:p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692AAF">
            <w:pPr>
              <w:spacing w:after="0" w:line="240" w:lineRule="auto"/>
              <w:jc w:val="center"/>
              <w:rPr>
                <w:sz w:val="20"/>
                <w:szCs w:val="20"/>
              </w:rPr>
            </w:pPr>
            <w:r>
              <w:rPr>
                <w:sz w:val="20"/>
                <w:szCs w:val="20"/>
              </w:rPr>
              <w:t>5</w:t>
            </w:r>
          </w:p>
        </w:tc>
        <w:tc>
          <w:tcPr>
            <w:tcW w:w="2673" w:type="dxa"/>
          </w:tcPr>
          <w:p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rsidR="003F3A90" w:rsidRPr="003F3A90" w:rsidRDefault="003F3A90" w:rsidP="00692AAF">
            <w:pPr>
              <w:spacing w:after="0" w:line="240" w:lineRule="auto"/>
              <w:jc w:val="both"/>
              <w:rPr>
                <w:sz w:val="20"/>
                <w:szCs w:val="20"/>
              </w:rPr>
            </w:pPr>
          </w:p>
        </w:tc>
        <w:tc>
          <w:tcPr>
            <w:tcW w:w="1763" w:type="dxa"/>
          </w:tcPr>
          <w:p w:rsidR="003F3A90" w:rsidRPr="003F3A90" w:rsidRDefault="003F3A90" w:rsidP="00692AAF">
            <w:pPr>
              <w:spacing w:after="0" w:line="240" w:lineRule="auto"/>
              <w:jc w:val="both"/>
              <w:rPr>
                <w:sz w:val="20"/>
                <w:szCs w:val="20"/>
              </w:rPr>
            </w:pPr>
          </w:p>
        </w:tc>
        <w:tc>
          <w:tcPr>
            <w:tcW w:w="1747" w:type="dxa"/>
          </w:tcPr>
          <w:p w:rsidR="003F3A90" w:rsidRPr="003F3A90" w:rsidRDefault="003F3A90" w:rsidP="00692AAF">
            <w:pPr>
              <w:spacing w:after="0" w:line="240" w:lineRule="auto"/>
              <w:jc w:val="both"/>
              <w:rPr>
                <w:sz w:val="20"/>
                <w:szCs w:val="20"/>
              </w:rPr>
            </w:pPr>
          </w:p>
        </w:tc>
        <w:tc>
          <w:tcPr>
            <w:tcW w:w="1758" w:type="dxa"/>
          </w:tcPr>
          <w:p w:rsidR="003F3A90" w:rsidRPr="003F3A90" w:rsidRDefault="003F3A90" w:rsidP="00692AAF">
            <w:pPr>
              <w:spacing w:after="0" w:line="240" w:lineRule="auto"/>
              <w:jc w:val="both"/>
              <w:rPr>
                <w:sz w:val="20"/>
                <w:szCs w:val="20"/>
              </w:rPr>
            </w:pPr>
          </w:p>
        </w:tc>
      </w:tr>
      <w:tr w:rsidR="008F740D" w:rsidRPr="003F3A90" w:rsidTr="004A4CA3">
        <w:trPr>
          <w:jc w:val="center"/>
        </w:trPr>
        <w:tc>
          <w:tcPr>
            <w:tcW w:w="675" w:type="dxa"/>
          </w:tcPr>
          <w:p w:rsidR="008F740D" w:rsidRDefault="0033476B" w:rsidP="00692AAF">
            <w:pPr>
              <w:spacing w:after="0" w:line="240" w:lineRule="auto"/>
              <w:jc w:val="center"/>
              <w:rPr>
                <w:sz w:val="20"/>
                <w:szCs w:val="20"/>
              </w:rPr>
            </w:pPr>
            <w:r>
              <w:rPr>
                <w:sz w:val="20"/>
                <w:szCs w:val="20"/>
              </w:rPr>
              <w:t>6</w:t>
            </w:r>
          </w:p>
        </w:tc>
        <w:tc>
          <w:tcPr>
            <w:tcW w:w="2673" w:type="dxa"/>
          </w:tcPr>
          <w:p w:rsidR="008F740D" w:rsidRPr="003F3A90" w:rsidRDefault="0097460E" w:rsidP="00692AAF">
            <w:pPr>
              <w:spacing w:after="0" w:line="240" w:lineRule="auto"/>
              <w:rPr>
                <w:sz w:val="20"/>
                <w:szCs w:val="20"/>
              </w:rPr>
            </w:pPr>
            <w:r>
              <w:rPr>
                <w:sz w:val="20"/>
                <w:szCs w:val="20"/>
              </w:rPr>
              <w:t>Wkład rzeczowy</w:t>
            </w:r>
          </w:p>
        </w:tc>
        <w:tc>
          <w:tcPr>
            <w:tcW w:w="1721" w:type="dxa"/>
          </w:tcPr>
          <w:p w:rsidR="008F740D" w:rsidRPr="003F3A90" w:rsidRDefault="008F740D" w:rsidP="00692AAF">
            <w:pPr>
              <w:spacing w:after="0" w:line="240" w:lineRule="auto"/>
              <w:jc w:val="both"/>
              <w:rPr>
                <w:sz w:val="20"/>
                <w:szCs w:val="20"/>
              </w:rPr>
            </w:pPr>
          </w:p>
        </w:tc>
        <w:tc>
          <w:tcPr>
            <w:tcW w:w="1763" w:type="dxa"/>
          </w:tcPr>
          <w:p w:rsidR="008F740D" w:rsidRPr="003F3A90" w:rsidRDefault="008F740D" w:rsidP="00692AAF">
            <w:pPr>
              <w:spacing w:after="0" w:line="240" w:lineRule="auto"/>
              <w:jc w:val="both"/>
              <w:rPr>
                <w:sz w:val="20"/>
                <w:szCs w:val="20"/>
              </w:rPr>
            </w:pPr>
          </w:p>
        </w:tc>
        <w:tc>
          <w:tcPr>
            <w:tcW w:w="1747" w:type="dxa"/>
          </w:tcPr>
          <w:p w:rsidR="008F740D" w:rsidRPr="003F3A90" w:rsidRDefault="008F740D" w:rsidP="00692AAF">
            <w:pPr>
              <w:spacing w:after="0" w:line="240" w:lineRule="auto"/>
              <w:jc w:val="both"/>
              <w:rPr>
                <w:sz w:val="20"/>
                <w:szCs w:val="20"/>
              </w:rPr>
            </w:pPr>
          </w:p>
        </w:tc>
        <w:tc>
          <w:tcPr>
            <w:tcW w:w="1758" w:type="dxa"/>
          </w:tcPr>
          <w:p w:rsidR="008F740D" w:rsidRPr="003F3A90" w:rsidRDefault="008F740D" w:rsidP="00692AAF">
            <w:pPr>
              <w:spacing w:after="0" w:line="240" w:lineRule="auto"/>
              <w:jc w:val="both"/>
              <w:rPr>
                <w:sz w:val="20"/>
                <w:szCs w:val="20"/>
              </w:rPr>
            </w:pPr>
          </w:p>
        </w:tc>
      </w:tr>
      <w:tr w:rsidR="00926ED6" w:rsidRPr="003F3A90" w:rsidTr="004A4CA3">
        <w:trPr>
          <w:jc w:val="center"/>
        </w:trPr>
        <w:tc>
          <w:tcPr>
            <w:tcW w:w="675" w:type="dxa"/>
          </w:tcPr>
          <w:p w:rsidR="00926ED6" w:rsidRPr="003F3A90" w:rsidRDefault="0033476B" w:rsidP="007B1169">
            <w:pPr>
              <w:spacing w:after="0" w:line="240" w:lineRule="auto"/>
              <w:jc w:val="center"/>
              <w:rPr>
                <w:sz w:val="20"/>
                <w:szCs w:val="20"/>
              </w:rPr>
            </w:pPr>
            <w:r>
              <w:rPr>
                <w:sz w:val="20"/>
                <w:szCs w:val="20"/>
              </w:rPr>
              <w:t>7</w:t>
            </w:r>
          </w:p>
        </w:tc>
        <w:tc>
          <w:tcPr>
            <w:tcW w:w="2673" w:type="dxa"/>
          </w:tcPr>
          <w:p w:rsidR="00926ED6" w:rsidRPr="003F3A90" w:rsidRDefault="007B1169" w:rsidP="007B1169">
            <w:pPr>
              <w:spacing w:after="0" w:line="240" w:lineRule="auto"/>
              <w:rPr>
                <w:sz w:val="20"/>
                <w:szCs w:val="20"/>
              </w:rPr>
            </w:pPr>
            <w:r w:rsidRPr="003F3A90">
              <w:rPr>
                <w:sz w:val="20"/>
                <w:szCs w:val="20"/>
              </w:rPr>
              <w:t>Promocja</w:t>
            </w:r>
          </w:p>
        </w:tc>
        <w:tc>
          <w:tcPr>
            <w:tcW w:w="1721" w:type="dxa"/>
          </w:tcPr>
          <w:p w:rsidR="00926ED6" w:rsidRPr="003F3A90" w:rsidRDefault="00926ED6" w:rsidP="002517D7">
            <w:pPr>
              <w:spacing w:after="0" w:line="240" w:lineRule="auto"/>
              <w:jc w:val="both"/>
              <w:rPr>
                <w:sz w:val="20"/>
                <w:szCs w:val="20"/>
              </w:rPr>
            </w:pPr>
          </w:p>
        </w:tc>
        <w:tc>
          <w:tcPr>
            <w:tcW w:w="1763" w:type="dxa"/>
          </w:tcPr>
          <w:p w:rsidR="00926ED6" w:rsidRPr="003F3A90" w:rsidRDefault="00926ED6" w:rsidP="002517D7">
            <w:pPr>
              <w:spacing w:after="0" w:line="240" w:lineRule="auto"/>
              <w:jc w:val="both"/>
              <w:rPr>
                <w:sz w:val="20"/>
                <w:szCs w:val="20"/>
              </w:rPr>
            </w:pPr>
          </w:p>
        </w:tc>
        <w:tc>
          <w:tcPr>
            <w:tcW w:w="1747" w:type="dxa"/>
          </w:tcPr>
          <w:p w:rsidR="00926ED6" w:rsidRPr="003F3A90" w:rsidRDefault="00926ED6" w:rsidP="002517D7">
            <w:pPr>
              <w:spacing w:after="0" w:line="240" w:lineRule="auto"/>
              <w:jc w:val="both"/>
              <w:rPr>
                <w:sz w:val="20"/>
                <w:szCs w:val="20"/>
              </w:rPr>
            </w:pPr>
          </w:p>
        </w:tc>
        <w:tc>
          <w:tcPr>
            <w:tcW w:w="1758" w:type="dxa"/>
          </w:tcPr>
          <w:p w:rsidR="00926ED6" w:rsidRPr="003F3A90" w:rsidRDefault="00926ED6" w:rsidP="002517D7">
            <w:pPr>
              <w:spacing w:after="0" w:line="240" w:lineRule="auto"/>
              <w:jc w:val="both"/>
              <w:rPr>
                <w:sz w:val="20"/>
                <w:szCs w:val="20"/>
              </w:rPr>
            </w:pPr>
          </w:p>
        </w:tc>
      </w:tr>
      <w:tr w:rsidR="003F3A90" w:rsidRPr="003F3A90" w:rsidTr="004A4CA3">
        <w:trPr>
          <w:jc w:val="center"/>
        </w:trPr>
        <w:tc>
          <w:tcPr>
            <w:tcW w:w="675" w:type="dxa"/>
          </w:tcPr>
          <w:p w:rsidR="003F3A90" w:rsidRPr="003F3A90" w:rsidRDefault="0033476B" w:rsidP="007B1169">
            <w:pPr>
              <w:spacing w:after="0" w:line="240" w:lineRule="auto"/>
              <w:jc w:val="center"/>
              <w:rPr>
                <w:sz w:val="20"/>
                <w:szCs w:val="20"/>
              </w:rPr>
            </w:pPr>
            <w:r>
              <w:rPr>
                <w:sz w:val="20"/>
                <w:szCs w:val="20"/>
              </w:rPr>
              <w:t>8</w:t>
            </w:r>
          </w:p>
        </w:tc>
        <w:tc>
          <w:tcPr>
            <w:tcW w:w="2673" w:type="dxa"/>
          </w:tcPr>
          <w:p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rsidR="003F3A90" w:rsidRPr="003F3A90" w:rsidRDefault="003F3A90" w:rsidP="002517D7">
            <w:pPr>
              <w:spacing w:after="0" w:line="240" w:lineRule="auto"/>
              <w:jc w:val="both"/>
              <w:rPr>
                <w:sz w:val="20"/>
                <w:szCs w:val="20"/>
              </w:rPr>
            </w:pPr>
          </w:p>
        </w:tc>
        <w:tc>
          <w:tcPr>
            <w:tcW w:w="1763" w:type="dxa"/>
          </w:tcPr>
          <w:p w:rsidR="003F3A90" w:rsidRPr="003F3A90" w:rsidRDefault="003F3A90" w:rsidP="002517D7">
            <w:pPr>
              <w:spacing w:after="0" w:line="240" w:lineRule="auto"/>
              <w:jc w:val="both"/>
              <w:rPr>
                <w:sz w:val="20"/>
                <w:szCs w:val="20"/>
              </w:rPr>
            </w:pPr>
          </w:p>
        </w:tc>
        <w:tc>
          <w:tcPr>
            <w:tcW w:w="1747" w:type="dxa"/>
          </w:tcPr>
          <w:p w:rsidR="003F3A90" w:rsidRPr="003F3A90" w:rsidRDefault="003F3A90" w:rsidP="002517D7">
            <w:pPr>
              <w:spacing w:after="0" w:line="240" w:lineRule="auto"/>
              <w:jc w:val="both"/>
              <w:rPr>
                <w:sz w:val="20"/>
                <w:szCs w:val="20"/>
              </w:rPr>
            </w:pPr>
          </w:p>
        </w:tc>
        <w:tc>
          <w:tcPr>
            <w:tcW w:w="1758" w:type="dxa"/>
          </w:tcPr>
          <w:p w:rsidR="003F3A90" w:rsidRPr="003F3A90" w:rsidRDefault="003F3A90"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9</w:t>
            </w:r>
          </w:p>
        </w:tc>
        <w:tc>
          <w:tcPr>
            <w:tcW w:w="2673" w:type="dxa"/>
          </w:tcPr>
          <w:p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97460E" w:rsidRPr="003F3A90" w:rsidTr="004A4CA3">
        <w:trPr>
          <w:jc w:val="center"/>
        </w:trPr>
        <w:tc>
          <w:tcPr>
            <w:tcW w:w="675" w:type="dxa"/>
          </w:tcPr>
          <w:p w:rsidR="0097460E" w:rsidRDefault="0033476B" w:rsidP="007B1169">
            <w:pPr>
              <w:spacing w:after="0" w:line="240" w:lineRule="auto"/>
              <w:jc w:val="center"/>
              <w:rPr>
                <w:sz w:val="20"/>
                <w:szCs w:val="20"/>
              </w:rPr>
            </w:pPr>
            <w:r>
              <w:rPr>
                <w:sz w:val="20"/>
                <w:szCs w:val="20"/>
              </w:rPr>
              <w:t>10</w:t>
            </w:r>
          </w:p>
        </w:tc>
        <w:tc>
          <w:tcPr>
            <w:tcW w:w="2673" w:type="dxa"/>
          </w:tcPr>
          <w:p w:rsidR="0097460E" w:rsidRDefault="0097460E" w:rsidP="007B1169">
            <w:pPr>
              <w:spacing w:after="0" w:line="240" w:lineRule="auto"/>
              <w:rPr>
                <w:sz w:val="20"/>
                <w:szCs w:val="20"/>
              </w:rPr>
            </w:pPr>
            <w:r>
              <w:rPr>
                <w:sz w:val="20"/>
                <w:szCs w:val="20"/>
              </w:rPr>
              <w:t>Cross-</w:t>
            </w:r>
            <w:proofErr w:type="spellStart"/>
            <w:r>
              <w:rPr>
                <w:sz w:val="20"/>
                <w:szCs w:val="20"/>
              </w:rPr>
              <w:t>financing</w:t>
            </w:r>
            <w:proofErr w:type="spellEnd"/>
          </w:p>
        </w:tc>
        <w:tc>
          <w:tcPr>
            <w:tcW w:w="1721" w:type="dxa"/>
          </w:tcPr>
          <w:p w:rsidR="0097460E" w:rsidRPr="003F3A90" w:rsidRDefault="0097460E" w:rsidP="002517D7">
            <w:pPr>
              <w:spacing w:after="0" w:line="240" w:lineRule="auto"/>
              <w:jc w:val="both"/>
              <w:rPr>
                <w:sz w:val="20"/>
                <w:szCs w:val="20"/>
              </w:rPr>
            </w:pPr>
          </w:p>
        </w:tc>
        <w:tc>
          <w:tcPr>
            <w:tcW w:w="1763" w:type="dxa"/>
          </w:tcPr>
          <w:p w:rsidR="0097460E" w:rsidRPr="003F3A90" w:rsidRDefault="0097460E" w:rsidP="002517D7">
            <w:pPr>
              <w:spacing w:after="0" w:line="240" w:lineRule="auto"/>
              <w:jc w:val="both"/>
              <w:rPr>
                <w:sz w:val="20"/>
                <w:szCs w:val="20"/>
              </w:rPr>
            </w:pPr>
          </w:p>
        </w:tc>
        <w:tc>
          <w:tcPr>
            <w:tcW w:w="1747" w:type="dxa"/>
          </w:tcPr>
          <w:p w:rsidR="0097460E" w:rsidRPr="003F3A90" w:rsidRDefault="0097460E" w:rsidP="002517D7">
            <w:pPr>
              <w:spacing w:after="0" w:line="240" w:lineRule="auto"/>
              <w:jc w:val="both"/>
              <w:rPr>
                <w:sz w:val="20"/>
                <w:szCs w:val="20"/>
              </w:rPr>
            </w:pPr>
          </w:p>
        </w:tc>
        <w:tc>
          <w:tcPr>
            <w:tcW w:w="1758" w:type="dxa"/>
          </w:tcPr>
          <w:p w:rsidR="0097460E" w:rsidRPr="003F3A90" w:rsidRDefault="0097460E" w:rsidP="002517D7">
            <w:pPr>
              <w:spacing w:after="0" w:line="240" w:lineRule="auto"/>
              <w:jc w:val="both"/>
              <w:rPr>
                <w:sz w:val="20"/>
                <w:szCs w:val="20"/>
              </w:rPr>
            </w:pPr>
          </w:p>
        </w:tc>
      </w:tr>
      <w:tr w:rsidR="000855C6" w:rsidRPr="003F3A90" w:rsidTr="004A4CA3">
        <w:trPr>
          <w:jc w:val="center"/>
        </w:trPr>
        <w:tc>
          <w:tcPr>
            <w:tcW w:w="675" w:type="dxa"/>
          </w:tcPr>
          <w:p w:rsidR="000855C6" w:rsidRDefault="0033476B" w:rsidP="007B1169">
            <w:pPr>
              <w:spacing w:after="0" w:line="240" w:lineRule="auto"/>
              <w:jc w:val="center"/>
              <w:rPr>
                <w:sz w:val="20"/>
                <w:szCs w:val="20"/>
              </w:rPr>
            </w:pPr>
            <w:r>
              <w:rPr>
                <w:sz w:val="20"/>
                <w:szCs w:val="20"/>
              </w:rPr>
              <w:t>11</w:t>
            </w:r>
          </w:p>
        </w:tc>
        <w:tc>
          <w:tcPr>
            <w:tcW w:w="2673" w:type="dxa"/>
          </w:tcPr>
          <w:p w:rsidR="000855C6" w:rsidRDefault="0097460E" w:rsidP="000855C6">
            <w:pPr>
              <w:spacing w:after="0" w:line="240" w:lineRule="auto"/>
              <w:rPr>
                <w:sz w:val="20"/>
                <w:szCs w:val="20"/>
              </w:rPr>
            </w:pPr>
            <w:r>
              <w:rPr>
                <w:sz w:val="20"/>
                <w:szCs w:val="20"/>
              </w:rPr>
              <w:t>Inne (wymienić jakie?)</w:t>
            </w:r>
          </w:p>
        </w:tc>
        <w:tc>
          <w:tcPr>
            <w:tcW w:w="1721" w:type="dxa"/>
          </w:tcPr>
          <w:p w:rsidR="000855C6" w:rsidRPr="003F3A90" w:rsidRDefault="000855C6" w:rsidP="002517D7">
            <w:pPr>
              <w:spacing w:after="0" w:line="240" w:lineRule="auto"/>
              <w:jc w:val="both"/>
              <w:rPr>
                <w:sz w:val="20"/>
                <w:szCs w:val="20"/>
              </w:rPr>
            </w:pPr>
          </w:p>
        </w:tc>
        <w:tc>
          <w:tcPr>
            <w:tcW w:w="1763" w:type="dxa"/>
          </w:tcPr>
          <w:p w:rsidR="000855C6" w:rsidRPr="003F3A90" w:rsidRDefault="000855C6" w:rsidP="002517D7">
            <w:pPr>
              <w:spacing w:after="0" w:line="240" w:lineRule="auto"/>
              <w:jc w:val="both"/>
              <w:rPr>
                <w:sz w:val="20"/>
                <w:szCs w:val="20"/>
              </w:rPr>
            </w:pPr>
          </w:p>
        </w:tc>
        <w:tc>
          <w:tcPr>
            <w:tcW w:w="1747" w:type="dxa"/>
          </w:tcPr>
          <w:p w:rsidR="000855C6" w:rsidRPr="003F3A90" w:rsidRDefault="000855C6" w:rsidP="002517D7">
            <w:pPr>
              <w:spacing w:after="0" w:line="240" w:lineRule="auto"/>
              <w:jc w:val="both"/>
              <w:rPr>
                <w:sz w:val="20"/>
                <w:szCs w:val="20"/>
              </w:rPr>
            </w:pPr>
          </w:p>
        </w:tc>
        <w:tc>
          <w:tcPr>
            <w:tcW w:w="1758" w:type="dxa"/>
          </w:tcPr>
          <w:p w:rsidR="000855C6" w:rsidRPr="003F3A90" w:rsidRDefault="000855C6" w:rsidP="002517D7">
            <w:pPr>
              <w:spacing w:after="0" w:line="240" w:lineRule="auto"/>
              <w:jc w:val="both"/>
              <w:rPr>
                <w:sz w:val="20"/>
                <w:szCs w:val="20"/>
              </w:rPr>
            </w:pPr>
          </w:p>
        </w:tc>
      </w:tr>
      <w:tr w:rsidR="00361643" w:rsidRPr="003F3A90" w:rsidTr="004A4CA3">
        <w:trPr>
          <w:jc w:val="center"/>
        </w:trPr>
        <w:tc>
          <w:tcPr>
            <w:tcW w:w="675" w:type="dxa"/>
          </w:tcPr>
          <w:p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r>
              <w:rPr>
                <w:sz w:val="20"/>
                <w:szCs w:val="20"/>
              </w:rPr>
              <w:t>n+1</w:t>
            </w:r>
          </w:p>
        </w:tc>
        <w:tc>
          <w:tcPr>
            <w:tcW w:w="2673" w:type="dxa"/>
          </w:tcPr>
          <w:p w:rsidR="00361643" w:rsidRDefault="00361643" w:rsidP="000855C6">
            <w:pPr>
              <w:spacing w:after="0" w:line="240" w:lineRule="auto"/>
              <w:rPr>
                <w:sz w:val="20"/>
                <w:szCs w:val="20"/>
              </w:rPr>
            </w:pP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r w:rsidR="00361643" w:rsidRPr="003F3A90" w:rsidTr="004A4CA3">
        <w:trPr>
          <w:jc w:val="center"/>
        </w:trPr>
        <w:tc>
          <w:tcPr>
            <w:tcW w:w="675" w:type="dxa"/>
          </w:tcPr>
          <w:p w:rsidR="00361643" w:rsidRDefault="00361643" w:rsidP="007B1169">
            <w:pPr>
              <w:spacing w:after="0" w:line="240" w:lineRule="auto"/>
              <w:jc w:val="center"/>
              <w:rPr>
                <w:sz w:val="20"/>
                <w:szCs w:val="20"/>
              </w:rPr>
            </w:pPr>
          </w:p>
        </w:tc>
        <w:tc>
          <w:tcPr>
            <w:tcW w:w="2673" w:type="dxa"/>
          </w:tcPr>
          <w:p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rsidR="00361643" w:rsidRPr="003F3A90" w:rsidRDefault="00361643" w:rsidP="002517D7">
            <w:pPr>
              <w:spacing w:after="0" w:line="240" w:lineRule="auto"/>
              <w:jc w:val="both"/>
              <w:rPr>
                <w:sz w:val="20"/>
                <w:szCs w:val="20"/>
              </w:rPr>
            </w:pPr>
          </w:p>
        </w:tc>
        <w:tc>
          <w:tcPr>
            <w:tcW w:w="1763" w:type="dxa"/>
          </w:tcPr>
          <w:p w:rsidR="00361643" w:rsidRPr="003F3A90" w:rsidRDefault="00361643" w:rsidP="002517D7">
            <w:pPr>
              <w:spacing w:after="0" w:line="240" w:lineRule="auto"/>
              <w:jc w:val="both"/>
              <w:rPr>
                <w:sz w:val="20"/>
                <w:szCs w:val="20"/>
              </w:rPr>
            </w:pPr>
          </w:p>
        </w:tc>
        <w:tc>
          <w:tcPr>
            <w:tcW w:w="1747" w:type="dxa"/>
          </w:tcPr>
          <w:p w:rsidR="00361643" w:rsidRPr="003F3A90" w:rsidRDefault="00361643" w:rsidP="002517D7">
            <w:pPr>
              <w:spacing w:after="0" w:line="240" w:lineRule="auto"/>
              <w:jc w:val="both"/>
              <w:rPr>
                <w:sz w:val="20"/>
                <w:szCs w:val="20"/>
              </w:rPr>
            </w:pPr>
          </w:p>
        </w:tc>
        <w:tc>
          <w:tcPr>
            <w:tcW w:w="1758" w:type="dxa"/>
          </w:tcPr>
          <w:p w:rsidR="00361643" w:rsidRPr="003F3A90" w:rsidRDefault="00361643" w:rsidP="002517D7">
            <w:pPr>
              <w:spacing w:after="0" w:line="240" w:lineRule="auto"/>
              <w:jc w:val="both"/>
              <w:rPr>
                <w:sz w:val="20"/>
                <w:szCs w:val="20"/>
              </w:rPr>
            </w:pPr>
          </w:p>
        </w:tc>
      </w:tr>
    </w:tbl>
    <w:p w:rsidR="00FE5487" w:rsidRDefault="00FE5487" w:rsidP="008C78E1">
      <w:pPr>
        <w:spacing w:after="0" w:line="240" w:lineRule="auto"/>
        <w:jc w:val="both"/>
        <w:rPr>
          <w:color w:val="FF0000"/>
        </w:rPr>
      </w:pPr>
    </w:p>
    <w:p w:rsidR="00B94F29" w:rsidRDefault="00B94F29" w:rsidP="008F740D">
      <w:pPr>
        <w:spacing w:after="0"/>
        <w:jc w:val="both"/>
        <w:rPr>
          <w:rFonts w:eastAsia="Times New Roman" w:cs="Arial"/>
          <w:sz w:val="24"/>
          <w:szCs w:val="24"/>
          <w:lang w:eastAsia="pl-PL"/>
        </w:rPr>
      </w:pPr>
    </w:p>
    <w:p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xml:space="preserve">, </w:t>
      </w:r>
      <w:proofErr w:type="spellStart"/>
      <w:r>
        <w:rPr>
          <w:rFonts w:eastAsia="Times New Roman" w:cs="Arial"/>
          <w:bCs/>
          <w:sz w:val="24"/>
          <w:szCs w:val="24"/>
          <w:lang w:eastAsia="pl-PL"/>
        </w:rPr>
        <w:t>itp</w:t>
      </w:r>
      <w:proofErr w:type="spellEnd"/>
      <w:r w:rsidR="0093792E">
        <w:rPr>
          <w:rFonts w:eastAsia="Times New Roman" w:cs="Arial"/>
          <w:bCs/>
          <w:sz w:val="24"/>
          <w:szCs w:val="24"/>
          <w:lang w:eastAsia="pl-PL"/>
        </w:rPr>
        <w:t xml:space="preserve">). </w:t>
      </w:r>
    </w:p>
    <w:p w:rsidR="00D2778D" w:rsidRPr="00043312" w:rsidRDefault="0006218A" w:rsidP="008F740D">
      <w:pPr>
        <w:pStyle w:val="Bezodstpw"/>
        <w:spacing w:line="276" w:lineRule="auto"/>
        <w:jc w:val="both"/>
        <w:rPr>
          <w:rFonts w:cs="Helvetica"/>
          <w:b/>
          <w:bCs/>
          <w:sz w:val="24"/>
          <w:szCs w:val="24"/>
          <w:u w:val="single"/>
          <w:lang w:eastAsia="pl-PL"/>
        </w:rPr>
      </w:pPr>
      <w:r>
        <w:rPr>
          <w:b/>
          <w:sz w:val="24"/>
          <w:szCs w:val="24"/>
        </w:rPr>
        <w:t>*</w:t>
      </w:r>
      <w:r w:rsidR="001C09AE" w:rsidRPr="000855C6">
        <w:rPr>
          <w:b/>
          <w:sz w:val="24"/>
          <w:szCs w:val="24"/>
        </w:rPr>
        <w:t xml:space="preserve">W </w:t>
      </w:r>
      <w:r w:rsidR="002B73A1" w:rsidRPr="000855C6">
        <w:rPr>
          <w:b/>
          <w:sz w:val="24"/>
          <w:szCs w:val="24"/>
        </w:rPr>
        <w:t xml:space="preserve">przypadku dopuszczalnych limitów </w:t>
      </w:r>
      <w:r w:rsidR="00DD7B6B" w:rsidRPr="000855C6">
        <w:rPr>
          <w:b/>
          <w:sz w:val="24"/>
          <w:szCs w:val="24"/>
        </w:rPr>
        <w:t xml:space="preserve">określonych </w:t>
      </w:r>
      <w:r w:rsidR="002B73A1" w:rsidRPr="000855C6">
        <w:rPr>
          <w:b/>
          <w:sz w:val="24"/>
          <w:szCs w:val="24"/>
        </w:rPr>
        <w:t>dla niektórych kategorii wydatków w</w:t>
      </w:r>
      <w:r w:rsidR="00DD7B6B" w:rsidRPr="000855C6">
        <w:rPr>
          <w:b/>
          <w:sz w:val="24"/>
          <w:szCs w:val="24"/>
        </w:rPr>
        <w:t>yszczególnionych</w:t>
      </w:r>
      <w:r w:rsidR="002B73A1" w:rsidRPr="000855C6">
        <w:rPr>
          <w:b/>
          <w:sz w:val="24"/>
          <w:szCs w:val="24"/>
        </w:rPr>
        <w:t xml:space="preserve"> </w:t>
      </w:r>
      <w:r w:rsidR="00DD7B6B" w:rsidRPr="000855C6">
        <w:rPr>
          <w:b/>
          <w:sz w:val="24"/>
          <w:szCs w:val="24"/>
        </w:rPr>
        <w:t>w</w:t>
      </w:r>
      <w:r w:rsidR="002B73A1" w:rsidRPr="000855C6">
        <w:rPr>
          <w:b/>
          <w:sz w:val="24"/>
          <w:szCs w:val="24"/>
        </w:rPr>
        <w:t xml:space="preserve"> priorytetach inwestycyjnych RPOWŚ </w:t>
      </w:r>
      <w:r w:rsidR="0033476B">
        <w:rPr>
          <w:b/>
          <w:sz w:val="24"/>
          <w:szCs w:val="24"/>
        </w:rPr>
        <w:t xml:space="preserve">2014-2020, </w:t>
      </w:r>
      <w:r w:rsidR="00361643">
        <w:rPr>
          <w:b/>
          <w:sz w:val="24"/>
          <w:szCs w:val="24"/>
        </w:rPr>
        <w:t>działaniach SZ</w:t>
      </w:r>
      <w:r w:rsidR="002B73A1" w:rsidRPr="000855C6">
        <w:rPr>
          <w:b/>
          <w:sz w:val="24"/>
          <w:szCs w:val="24"/>
        </w:rPr>
        <w:t xml:space="preserve">OOP RPOWŚ 2014-2020 </w:t>
      </w:r>
      <w:r w:rsidR="0033476B">
        <w:rPr>
          <w:b/>
          <w:sz w:val="24"/>
          <w:szCs w:val="24"/>
        </w:rPr>
        <w:t>lub w regulaminach poszczególnych konkursów należy</w:t>
      </w:r>
      <w:r w:rsidR="002B73A1" w:rsidRPr="000855C6">
        <w:rPr>
          <w:b/>
          <w:sz w:val="24"/>
          <w:szCs w:val="24"/>
        </w:rPr>
        <w:t xml:space="preserve"> przedstawić te wydatki w </w:t>
      </w:r>
      <w:r w:rsidR="000855C6" w:rsidRPr="000855C6">
        <w:rPr>
          <w:b/>
          <w:sz w:val="24"/>
          <w:szCs w:val="24"/>
        </w:rPr>
        <w:t xml:space="preserve">powyższej tabeli w </w:t>
      </w:r>
      <w:r w:rsidR="002B73A1" w:rsidRPr="000855C6">
        <w:rPr>
          <w:b/>
          <w:sz w:val="24"/>
          <w:szCs w:val="24"/>
        </w:rPr>
        <w:t>odpowiedniej wysokości wraz z metodologią ich wyliczenia.</w:t>
      </w:r>
      <w:r w:rsidR="00361643">
        <w:rPr>
          <w:sz w:val="24"/>
          <w:szCs w:val="24"/>
        </w:rPr>
        <w:t xml:space="preserve"> </w:t>
      </w:r>
      <w:r w:rsidR="00D222FF" w:rsidRPr="00043312">
        <w:rPr>
          <w:b/>
          <w:sz w:val="24"/>
          <w:szCs w:val="24"/>
          <w:u w:val="single"/>
        </w:rPr>
        <w:t>Do obliczania</w:t>
      </w:r>
      <w:r w:rsidR="00D2778D" w:rsidRPr="00043312">
        <w:rPr>
          <w:b/>
          <w:sz w:val="24"/>
          <w:szCs w:val="24"/>
          <w:u w:val="single"/>
        </w:rPr>
        <w:t xml:space="preserve"> wydatków objętych limitami należy </w:t>
      </w:r>
      <w:r w:rsidR="004A4CA3">
        <w:rPr>
          <w:b/>
          <w:sz w:val="24"/>
          <w:szCs w:val="24"/>
          <w:u w:val="single"/>
        </w:rPr>
        <w:t>posłużyć</w:t>
      </w:r>
      <w:r w:rsidR="004B792F">
        <w:rPr>
          <w:b/>
          <w:sz w:val="24"/>
          <w:szCs w:val="24"/>
          <w:u w:val="single"/>
        </w:rPr>
        <w:t xml:space="preserve"> </w:t>
      </w:r>
      <w:r w:rsidR="004A4CA3">
        <w:rPr>
          <w:b/>
          <w:sz w:val="24"/>
          <w:szCs w:val="24"/>
          <w:u w:val="single"/>
        </w:rPr>
        <w:t>się metodologią</w:t>
      </w:r>
      <w:r w:rsidR="00D2778D" w:rsidRPr="00043312">
        <w:rPr>
          <w:b/>
          <w:sz w:val="24"/>
          <w:szCs w:val="24"/>
          <w:u w:val="single"/>
        </w:rPr>
        <w:t xml:space="preserve"> przedstawioną w załączniku nr 2 do  </w:t>
      </w:r>
      <w:r w:rsidR="00D2778D" w:rsidRPr="00043312">
        <w:rPr>
          <w:b/>
          <w:i/>
          <w:sz w:val="24"/>
          <w:szCs w:val="24"/>
          <w:u w:val="single"/>
        </w:rPr>
        <w:t>Wytycznych w zakresie kwalifikowalności wydatków</w:t>
      </w:r>
      <w:r w:rsidR="00D2778D" w:rsidRPr="00043312">
        <w:rPr>
          <w:b/>
          <w:sz w:val="24"/>
          <w:szCs w:val="24"/>
          <w:u w:val="single"/>
        </w:rPr>
        <w:t xml:space="preserve"> (</w:t>
      </w:r>
      <w:r w:rsidR="00D2778D" w:rsidRPr="00043312">
        <w:rPr>
          <w:rFonts w:cs="Helvetica"/>
          <w:b/>
          <w:bCs/>
          <w:sz w:val="24"/>
          <w:szCs w:val="24"/>
          <w:u w:val="single"/>
          <w:lang w:eastAsia="pl-PL"/>
        </w:rPr>
        <w:t>Obliczanie kosztu kwalifikowalnego w przypadku nieruchomo</w:t>
      </w:r>
      <w:r w:rsidR="00D2778D" w:rsidRPr="00043312">
        <w:rPr>
          <w:rFonts w:cs="Arial"/>
          <w:b/>
          <w:sz w:val="24"/>
          <w:szCs w:val="24"/>
          <w:u w:val="single"/>
          <w:lang w:eastAsia="pl-PL"/>
        </w:rPr>
        <w:t>ś</w:t>
      </w:r>
      <w:r w:rsidR="00D2778D" w:rsidRPr="00043312">
        <w:rPr>
          <w:rFonts w:cs="Helvetica"/>
          <w:b/>
          <w:bCs/>
          <w:sz w:val="24"/>
          <w:szCs w:val="24"/>
          <w:u w:val="single"/>
          <w:lang w:eastAsia="pl-PL"/>
        </w:rPr>
        <w:t>ci)</w:t>
      </w:r>
      <w:r w:rsidR="004B792F">
        <w:rPr>
          <w:rFonts w:cs="Helvetica"/>
          <w:b/>
          <w:bCs/>
          <w:sz w:val="24"/>
          <w:szCs w:val="24"/>
          <w:u w:val="single"/>
          <w:lang w:eastAsia="pl-PL"/>
        </w:rPr>
        <w:t xml:space="preserve"> </w:t>
      </w:r>
      <w:r w:rsidR="0070183D">
        <w:rPr>
          <w:rFonts w:cs="Helvetica"/>
          <w:b/>
          <w:bCs/>
          <w:sz w:val="24"/>
          <w:szCs w:val="24"/>
          <w:u w:val="single"/>
          <w:lang w:eastAsia="pl-PL"/>
        </w:rPr>
        <w:br/>
      </w:r>
      <w:r w:rsidR="004B792F">
        <w:rPr>
          <w:rFonts w:cs="Helvetica"/>
          <w:b/>
          <w:bCs/>
          <w:sz w:val="24"/>
          <w:szCs w:val="24"/>
          <w:u w:val="single"/>
          <w:lang w:eastAsia="pl-PL"/>
        </w:rPr>
        <w:t>z zastosowaniem odpowiednich dopuszczalnych limitów dla danej kategorii wydatku</w:t>
      </w:r>
      <w:r w:rsidR="00043312">
        <w:rPr>
          <w:rFonts w:cs="Helvetica"/>
          <w:b/>
          <w:bCs/>
          <w:sz w:val="24"/>
          <w:szCs w:val="24"/>
          <w:u w:val="single"/>
          <w:lang w:eastAsia="pl-PL"/>
        </w:rPr>
        <w:t>.</w:t>
      </w:r>
    </w:p>
    <w:p w:rsidR="00B94F29" w:rsidRDefault="00B94F29" w:rsidP="008F740D">
      <w:pPr>
        <w:pStyle w:val="Bezodstpw"/>
        <w:spacing w:line="276" w:lineRule="auto"/>
        <w:jc w:val="both"/>
        <w:rPr>
          <w:sz w:val="24"/>
          <w:szCs w:val="24"/>
        </w:rPr>
      </w:pPr>
    </w:p>
    <w:p w:rsidR="00361643" w:rsidRPr="006E4DE7" w:rsidRDefault="00361643" w:rsidP="008F740D">
      <w:pPr>
        <w:pStyle w:val="Bezodstpw"/>
        <w:spacing w:line="276" w:lineRule="auto"/>
        <w:jc w:val="both"/>
        <w:rPr>
          <w:b/>
          <w:sz w:val="24"/>
          <w:szCs w:val="24"/>
          <w:u w:val="single"/>
        </w:rPr>
      </w:pPr>
      <w:r w:rsidRPr="006E4DE7">
        <w:rPr>
          <w:b/>
          <w:sz w:val="24"/>
          <w:szCs w:val="24"/>
          <w:u w:val="single"/>
        </w:rPr>
        <w:t>Przykładowe limity wydatków:</w:t>
      </w:r>
    </w:p>
    <w:p w:rsidR="001717CD" w:rsidRPr="000072A9" w:rsidRDefault="001717CD" w:rsidP="008F740D">
      <w:pPr>
        <w:pStyle w:val="Bezodstpw"/>
        <w:spacing w:line="276" w:lineRule="auto"/>
        <w:jc w:val="both"/>
        <w:rPr>
          <w:rFonts w:eastAsia="Times New Roman"/>
          <w:b/>
          <w:sz w:val="24"/>
          <w:szCs w:val="24"/>
        </w:rPr>
      </w:pPr>
      <w:r w:rsidRPr="001717CD">
        <w:rPr>
          <w:rFonts w:eastAsia="Times New Roman"/>
          <w:b/>
          <w:sz w:val="24"/>
          <w:szCs w:val="24"/>
        </w:rPr>
        <w:t>W działaniu 2.2</w:t>
      </w:r>
      <w:r>
        <w:rPr>
          <w:rFonts w:eastAsia="Times New Roman"/>
          <w:sz w:val="24"/>
          <w:szCs w:val="24"/>
        </w:rPr>
        <w:t xml:space="preserve"> dopuszcza się </w:t>
      </w:r>
      <w:r w:rsidRPr="00361643">
        <w:rPr>
          <w:sz w:val="24"/>
          <w:szCs w:val="24"/>
        </w:rPr>
        <w:t xml:space="preserve">możliwość finansowania </w:t>
      </w:r>
      <w:r w:rsidRPr="000072A9">
        <w:rPr>
          <w:rFonts w:eastAsia="Times New Roman"/>
          <w:b/>
          <w:sz w:val="24"/>
          <w:szCs w:val="24"/>
        </w:rPr>
        <w:t xml:space="preserve">wewnętrznej infrastruktury komunikacyjnej </w:t>
      </w:r>
      <w:r w:rsidRPr="000072A9">
        <w:rPr>
          <w:rFonts w:eastAsia="Times New Roman"/>
          <w:b/>
          <w:sz w:val="24"/>
          <w:szCs w:val="24"/>
        </w:rPr>
        <w:br/>
        <w:t xml:space="preserve">w wysokości </w:t>
      </w:r>
      <w:r w:rsidR="000072A9" w:rsidRPr="000072A9">
        <w:rPr>
          <w:rFonts w:eastAsia="Times New Roman"/>
          <w:b/>
          <w:sz w:val="24"/>
          <w:szCs w:val="24"/>
        </w:rPr>
        <w:t xml:space="preserve">stanowiącej </w:t>
      </w:r>
      <w:r w:rsidRPr="000072A9">
        <w:rPr>
          <w:rFonts w:eastAsia="Times New Roman"/>
          <w:b/>
          <w:sz w:val="24"/>
          <w:szCs w:val="24"/>
        </w:rPr>
        <w:t>mniej niż 50% całkowitej wartości kosztów kwalifikowa</w:t>
      </w:r>
      <w:r w:rsidR="000072A9" w:rsidRPr="000072A9">
        <w:rPr>
          <w:rFonts w:eastAsia="Times New Roman"/>
          <w:b/>
          <w:sz w:val="24"/>
          <w:szCs w:val="24"/>
        </w:rPr>
        <w:t>l</w:t>
      </w:r>
      <w:r w:rsidRPr="000072A9">
        <w:rPr>
          <w:rFonts w:eastAsia="Times New Roman"/>
          <w:b/>
          <w:sz w:val="24"/>
          <w:szCs w:val="24"/>
        </w:rPr>
        <w:t>nych</w:t>
      </w:r>
      <w:r w:rsidR="000072A9" w:rsidRPr="000072A9">
        <w:rPr>
          <w:rFonts w:eastAsia="Times New Roman"/>
          <w:b/>
          <w:sz w:val="24"/>
          <w:szCs w:val="24"/>
        </w:rPr>
        <w:t xml:space="preserve"> projektu</w:t>
      </w:r>
      <w:r w:rsidRPr="000072A9">
        <w:rPr>
          <w:rFonts w:eastAsia="Times New Roman"/>
          <w:b/>
          <w:sz w:val="24"/>
          <w:szCs w:val="24"/>
        </w:rPr>
        <w:t xml:space="preserve">. </w:t>
      </w:r>
    </w:p>
    <w:p w:rsidR="00361643" w:rsidRDefault="00361643" w:rsidP="008F740D">
      <w:pPr>
        <w:pStyle w:val="Bezodstpw"/>
        <w:spacing w:line="276" w:lineRule="auto"/>
        <w:jc w:val="both"/>
        <w:rPr>
          <w:sz w:val="24"/>
          <w:szCs w:val="24"/>
        </w:rPr>
      </w:pPr>
      <w:r w:rsidRPr="00361643">
        <w:rPr>
          <w:b/>
          <w:sz w:val="24"/>
          <w:szCs w:val="24"/>
        </w:rPr>
        <w:t>W</w:t>
      </w:r>
      <w:r w:rsidR="00246C10" w:rsidRPr="00361643">
        <w:rPr>
          <w:b/>
          <w:sz w:val="24"/>
          <w:szCs w:val="24"/>
        </w:rPr>
        <w:t xml:space="preserve"> działaniu 4.4</w:t>
      </w:r>
      <w:r w:rsidR="00246C10" w:rsidRPr="00361643">
        <w:rPr>
          <w:i/>
          <w:sz w:val="24"/>
          <w:szCs w:val="24"/>
        </w:rPr>
        <w:t xml:space="preserve"> </w:t>
      </w:r>
      <w:r w:rsidR="00246C10" w:rsidRPr="00361643">
        <w:rPr>
          <w:sz w:val="24"/>
          <w:szCs w:val="24"/>
        </w:rPr>
        <w:t xml:space="preserve">dopuszcza się możliwość finansowania </w:t>
      </w:r>
      <w:r w:rsidR="00246C10" w:rsidRPr="00361643">
        <w:rPr>
          <w:b/>
          <w:sz w:val="24"/>
          <w:szCs w:val="24"/>
        </w:rPr>
        <w:t>termomodernizacji obiektów infrastruktury</w:t>
      </w:r>
      <w:r w:rsidR="00246C10" w:rsidRPr="00361643">
        <w:rPr>
          <w:sz w:val="24"/>
          <w:szCs w:val="24"/>
        </w:rPr>
        <w:t xml:space="preserve"> </w:t>
      </w:r>
      <w:r w:rsidR="00246C10" w:rsidRPr="00361643">
        <w:rPr>
          <w:b/>
          <w:sz w:val="24"/>
          <w:szCs w:val="24"/>
        </w:rPr>
        <w:t>kulturalnej w wysokości</w:t>
      </w:r>
      <w:r w:rsidR="00246C10" w:rsidRPr="00361643">
        <w:rPr>
          <w:sz w:val="24"/>
          <w:szCs w:val="24"/>
        </w:rPr>
        <w:t xml:space="preserve"> </w:t>
      </w:r>
      <w:r w:rsidR="00246C10" w:rsidRPr="00361643">
        <w:rPr>
          <w:b/>
          <w:sz w:val="24"/>
          <w:szCs w:val="24"/>
        </w:rPr>
        <w:t>nie wyższej niż 30% wartości kosztów kwalifikowa</w:t>
      </w:r>
      <w:r w:rsidR="008F10CC">
        <w:rPr>
          <w:b/>
          <w:sz w:val="24"/>
          <w:szCs w:val="24"/>
        </w:rPr>
        <w:t>l</w:t>
      </w:r>
      <w:r w:rsidR="00246C10" w:rsidRPr="00361643">
        <w:rPr>
          <w:b/>
          <w:sz w:val="24"/>
          <w:szCs w:val="24"/>
        </w:rPr>
        <w:t>nych projektu.</w:t>
      </w:r>
      <w:r w:rsidR="00246C10" w:rsidRPr="00361643">
        <w:rPr>
          <w:sz w:val="24"/>
          <w:szCs w:val="24"/>
        </w:rPr>
        <w:t xml:space="preserve"> Jeżeli projekt dotyczy modernizacji kilku obiektów, termomodernizacja nie może przekroczyć 30% wartości kosztów kwalifikowa</w:t>
      </w:r>
      <w:r w:rsidR="008F740D" w:rsidRPr="00361643">
        <w:rPr>
          <w:sz w:val="24"/>
          <w:szCs w:val="24"/>
        </w:rPr>
        <w:t>l</w:t>
      </w:r>
      <w:r w:rsidR="00246C10" w:rsidRPr="00361643">
        <w:rPr>
          <w:sz w:val="24"/>
          <w:szCs w:val="24"/>
        </w:rPr>
        <w:t xml:space="preserve">nych dla każdego zadania (obiektu) w ramach projektu. </w:t>
      </w:r>
    </w:p>
    <w:p w:rsidR="006B09ED" w:rsidRPr="00361643" w:rsidRDefault="00DD7B6B" w:rsidP="008F740D">
      <w:pPr>
        <w:pStyle w:val="Bezodstpw"/>
        <w:spacing w:line="276" w:lineRule="auto"/>
        <w:jc w:val="both"/>
        <w:rPr>
          <w:b/>
          <w:sz w:val="24"/>
          <w:szCs w:val="24"/>
        </w:rPr>
      </w:pPr>
      <w:r w:rsidRPr="00361643">
        <w:rPr>
          <w:b/>
          <w:sz w:val="24"/>
          <w:szCs w:val="24"/>
        </w:rPr>
        <w:t>W działaniu 6.5 d</w:t>
      </w:r>
      <w:r w:rsidR="00361643" w:rsidRPr="00361643">
        <w:rPr>
          <w:b/>
          <w:sz w:val="24"/>
          <w:szCs w:val="24"/>
        </w:rPr>
        <w:t xml:space="preserve">ominująca </w:t>
      </w:r>
      <w:r w:rsidR="0094244F" w:rsidRPr="00361643">
        <w:rPr>
          <w:b/>
          <w:sz w:val="24"/>
          <w:szCs w:val="24"/>
        </w:rPr>
        <w:t xml:space="preserve">w </w:t>
      </w:r>
      <w:r w:rsidRPr="00361643">
        <w:rPr>
          <w:b/>
          <w:sz w:val="24"/>
          <w:szCs w:val="24"/>
        </w:rPr>
        <w:t xml:space="preserve">projekcie kategoria kosztów nie może przekraczać 40% kosztów </w:t>
      </w:r>
      <w:proofErr w:type="spellStart"/>
      <w:r w:rsidRPr="00361643">
        <w:rPr>
          <w:b/>
          <w:sz w:val="24"/>
          <w:szCs w:val="24"/>
        </w:rPr>
        <w:t>kwalifikowan</w:t>
      </w:r>
      <w:r w:rsidR="008F10CC">
        <w:rPr>
          <w:b/>
          <w:sz w:val="24"/>
          <w:szCs w:val="24"/>
        </w:rPr>
        <w:t>l</w:t>
      </w:r>
      <w:r w:rsidRPr="00361643">
        <w:rPr>
          <w:b/>
          <w:sz w:val="24"/>
          <w:szCs w:val="24"/>
        </w:rPr>
        <w:t>ych</w:t>
      </w:r>
      <w:proofErr w:type="spellEnd"/>
      <w:r w:rsidRPr="00361643">
        <w:rPr>
          <w:rFonts w:ascii="Arial" w:hAnsi="Arial" w:cs="Arial"/>
          <w:b/>
        </w:rPr>
        <w:t xml:space="preserve">, </w:t>
      </w:r>
      <w:r w:rsidRPr="00043312">
        <w:rPr>
          <w:rFonts w:cs="Arial"/>
          <w:sz w:val="24"/>
          <w:szCs w:val="24"/>
        </w:rPr>
        <w:t>a wysokość wsparcia dla projektu z zakresu kultury nie może przekraczać 2 mln EUR kosztów kwalifikowanych.</w:t>
      </w:r>
      <w:r w:rsidRPr="00361643">
        <w:rPr>
          <w:rFonts w:ascii="Arial" w:hAnsi="Arial" w:cs="Arial"/>
          <w:b/>
        </w:rPr>
        <w:t xml:space="preserve"> </w:t>
      </w:r>
      <w:r w:rsidRPr="00361643">
        <w:rPr>
          <w:b/>
          <w:sz w:val="24"/>
          <w:szCs w:val="24"/>
        </w:rPr>
        <w:t xml:space="preserve"> </w:t>
      </w:r>
    </w:p>
    <w:p w:rsidR="000855C6" w:rsidRPr="00361643" w:rsidRDefault="000855C6" w:rsidP="00361643">
      <w:pPr>
        <w:pStyle w:val="Bezodstpw"/>
        <w:spacing w:line="276" w:lineRule="auto"/>
        <w:jc w:val="both"/>
        <w:rPr>
          <w:b/>
          <w:sz w:val="24"/>
          <w:szCs w:val="24"/>
        </w:rPr>
      </w:pPr>
      <w:r w:rsidRPr="00361643">
        <w:rPr>
          <w:b/>
          <w:sz w:val="24"/>
          <w:szCs w:val="24"/>
        </w:rPr>
        <w:t xml:space="preserve">W działaniu 3.4. i 6.2 </w:t>
      </w:r>
      <w:r w:rsidR="00361643" w:rsidRPr="00361643">
        <w:rPr>
          <w:b/>
          <w:sz w:val="24"/>
          <w:szCs w:val="24"/>
        </w:rPr>
        <w:t>i</w:t>
      </w:r>
      <w:r w:rsidRPr="00361643">
        <w:rPr>
          <w:b/>
          <w:sz w:val="24"/>
          <w:szCs w:val="24"/>
        </w:rPr>
        <w:t>nwestycje w drogi lokalne lub regionalne</w:t>
      </w:r>
      <w:r w:rsidRPr="00361643">
        <w:rPr>
          <w:sz w:val="24"/>
          <w:szCs w:val="24"/>
        </w:rPr>
        <w:t xml:space="preserve"> mogą być finansowane jedynie, jako niezbędny i uzupełniający element projektu dotyczącego systemu zrównoważonej mobilności miejskiej, przy czym wydatki na ten cel powinny stanowić mniejszość w danym projekcie, tj. </w:t>
      </w:r>
      <w:r w:rsidRPr="00361643">
        <w:rPr>
          <w:b/>
          <w:sz w:val="24"/>
          <w:szCs w:val="24"/>
        </w:rPr>
        <w:t>maksymalnie 40% całkowitych kosztów kwalifikowa</w:t>
      </w:r>
      <w:r w:rsidR="008F10CC">
        <w:rPr>
          <w:b/>
          <w:sz w:val="24"/>
          <w:szCs w:val="24"/>
        </w:rPr>
        <w:t>l</w:t>
      </w:r>
      <w:r w:rsidRPr="00361643">
        <w:rPr>
          <w:b/>
          <w:sz w:val="24"/>
          <w:szCs w:val="24"/>
        </w:rPr>
        <w:t>nych projektu.</w:t>
      </w:r>
    </w:p>
    <w:p w:rsidR="00043312" w:rsidRPr="0061432B" w:rsidRDefault="003B5B22" w:rsidP="006D62C4">
      <w:pPr>
        <w:pStyle w:val="Bezodstpw"/>
        <w:spacing w:line="276" w:lineRule="auto"/>
        <w:jc w:val="both"/>
        <w:rPr>
          <w:b/>
          <w:sz w:val="24"/>
          <w:szCs w:val="24"/>
          <w:u w:val="single"/>
        </w:rPr>
      </w:pPr>
      <w:r w:rsidRPr="003B5B22">
        <w:rPr>
          <w:b/>
          <w:sz w:val="24"/>
          <w:szCs w:val="24"/>
          <w:u w:val="single"/>
        </w:rPr>
        <w:lastRenderedPageBreak/>
        <w:t xml:space="preserve">W przypadku zmiany powyższych limitów związanych np. ze zmianą RPOWŚ 2014-2020 lub SZOOP RPOWŚ 2014-2020 należy stosować dopuszczalne limity określone w aktualnych wersjach ww. </w:t>
      </w:r>
      <w:r w:rsidRPr="0061432B">
        <w:rPr>
          <w:b/>
          <w:sz w:val="24"/>
          <w:szCs w:val="24"/>
          <w:u w:val="single"/>
        </w:rPr>
        <w:t>dokumentów</w:t>
      </w:r>
      <w:r w:rsidR="0061432B" w:rsidRPr="0061432B">
        <w:rPr>
          <w:b/>
          <w:sz w:val="24"/>
          <w:szCs w:val="24"/>
          <w:u w:val="single"/>
        </w:rPr>
        <w:t xml:space="preserve"> lub w regulaminach poszczególnych konkursów</w:t>
      </w:r>
      <w:r w:rsidRPr="0061432B">
        <w:rPr>
          <w:b/>
          <w:sz w:val="24"/>
          <w:szCs w:val="24"/>
          <w:u w:val="single"/>
        </w:rPr>
        <w:t>.</w:t>
      </w:r>
    </w:p>
    <w:p w:rsidR="008A02D2" w:rsidRPr="008A02D2" w:rsidRDefault="008A02D2" w:rsidP="00043312">
      <w:pPr>
        <w:pStyle w:val="Nagwek2"/>
        <w:numPr>
          <w:ilvl w:val="1"/>
          <w:numId w:val="4"/>
        </w:numPr>
        <w:rPr>
          <w:i w:val="0"/>
        </w:rPr>
      </w:pPr>
      <w:r w:rsidRPr="008A02D2">
        <w:rPr>
          <w:i w:val="0"/>
        </w:rPr>
        <w:t xml:space="preserve"> </w:t>
      </w:r>
      <w:bookmarkStart w:id="6" w:name="_Toc514928881"/>
      <w:r w:rsidRPr="008A02D2">
        <w:rPr>
          <w:i w:val="0"/>
        </w:rPr>
        <w:t>Lokalizacja projektu</w:t>
      </w:r>
      <w:bookmarkEnd w:id="6"/>
    </w:p>
    <w:p w:rsidR="008A02D2" w:rsidRPr="005C0085" w:rsidRDefault="008A02D2" w:rsidP="005C0085">
      <w:pPr>
        <w:pStyle w:val="Bezodstpw"/>
      </w:pPr>
    </w:p>
    <w:p w:rsidR="00926142" w:rsidRPr="0070183D" w:rsidRDefault="00967798" w:rsidP="006D62C4">
      <w:pPr>
        <w:pStyle w:val="Bezodstpw"/>
        <w:spacing w:line="276" w:lineRule="auto"/>
        <w:jc w:val="both"/>
        <w:rPr>
          <w:rFonts w:eastAsia="Times New Roman" w:cs="Arial"/>
          <w:color w:val="FF0000"/>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projekt) </w:t>
      </w:r>
      <w:r w:rsidR="00754EDE" w:rsidRPr="0070183D">
        <w:rPr>
          <w:sz w:val="24"/>
          <w:szCs w:val="24"/>
        </w:rPr>
        <w:t xml:space="preserve"> i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w:t>
      </w:r>
      <w:proofErr w:type="spellStart"/>
      <w:r w:rsidR="004971AA" w:rsidRPr="0070183D">
        <w:rPr>
          <w:rFonts w:eastAsia="Times New Roman" w:cs="Arial"/>
          <w:sz w:val="24"/>
          <w:szCs w:val="24"/>
          <w:lang w:eastAsia="pl-PL"/>
        </w:rPr>
        <w:t>Hydroportalu</w:t>
      </w:r>
      <w:proofErr w:type="spellEnd"/>
      <w:r w:rsidR="004971AA" w:rsidRPr="0070183D">
        <w:rPr>
          <w:rFonts w:eastAsia="Times New Roman" w:cs="Arial"/>
          <w:sz w:val="24"/>
          <w:szCs w:val="24"/>
          <w:lang w:eastAsia="pl-PL"/>
        </w:rPr>
        <w:t xml:space="preserve"> (</w:t>
      </w:r>
      <w:hyperlink r:id="rId13"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rsidR="00055119" w:rsidRPr="00F96C73" w:rsidRDefault="00055119" w:rsidP="00055119">
      <w:pPr>
        <w:pStyle w:val="Nagwek2"/>
        <w:numPr>
          <w:ilvl w:val="1"/>
          <w:numId w:val="4"/>
        </w:numPr>
        <w:rPr>
          <w:rFonts w:eastAsia="ArialNarrow,Bold"/>
          <w:i w:val="0"/>
        </w:rPr>
      </w:pPr>
      <w:bookmarkStart w:id="7" w:name="_Toc514928882"/>
      <w:r>
        <w:rPr>
          <w:rFonts w:eastAsia="ArialNarrow,Bold"/>
          <w:i w:val="0"/>
        </w:rPr>
        <w:t>Analiza pomocy publicznej</w:t>
      </w:r>
      <w:bookmarkEnd w:id="7"/>
    </w:p>
    <w:p w:rsidR="005C0085" w:rsidRPr="005C0085" w:rsidRDefault="005C0085"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Pr="002469D6">
        <w:rPr>
          <w:sz w:val="24"/>
          <w:szCs w:val="24"/>
        </w:rPr>
        <w:t>a</w:t>
      </w:r>
      <w:r w:rsidR="00967798" w:rsidRPr="002469D6">
        <w:rPr>
          <w:sz w:val="24"/>
          <w:szCs w:val="24"/>
        </w:rPr>
        <w:t>nalizy</w:t>
      </w:r>
      <w:r w:rsidRPr="002469D6">
        <w:rPr>
          <w:sz w:val="24"/>
          <w:szCs w:val="24"/>
        </w:rPr>
        <w:t xml:space="preserve"> występowania pomocy publicznej w projekcie. </w:t>
      </w:r>
    </w:p>
    <w:p w:rsidR="002469D6" w:rsidRPr="005C0085" w:rsidRDefault="002469D6" w:rsidP="005C0085">
      <w:pPr>
        <w:pStyle w:val="Bezodstpw"/>
      </w:pPr>
    </w:p>
    <w:p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wynika, </w:t>
      </w:r>
      <w:r w:rsidR="00F4209C">
        <w:rPr>
          <w:sz w:val="24"/>
          <w:szCs w:val="24"/>
        </w:rPr>
        <w:t>iż</w:t>
      </w:r>
      <w:r w:rsidRPr="002469D6">
        <w:rPr>
          <w:sz w:val="24"/>
          <w:szCs w:val="24"/>
        </w:rPr>
        <w:t xml:space="preserve"> przynajmniej jedna z ww. przesłanek nie została spełniona. </w:t>
      </w:r>
    </w:p>
    <w:p w:rsidR="002469D6" w:rsidRDefault="002469D6" w:rsidP="002469D6">
      <w:pPr>
        <w:pStyle w:val="Bezodstpw"/>
        <w:spacing w:line="276" w:lineRule="auto"/>
        <w:jc w:val="both"/>
        <w:rPr>
          <w:sz w:val="24"/>
          <w:szCs w:val="24"/>
        </w:rPr>
      </w:pPr>
    </w:p>
    <w:p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 xml:space="preserve">niezależnie od ich formy </w:t>
      </w:r>
      <w:r w:rsidRPr="002469D6">
        <w:rPr>
          <w:rStyle w:val="Pogrubienie"/>
          <w:sz w:val="24"/>
          <w:szCs w:val="24"/>
        </w:rPr>
        <w:lastRenderedPageBreak/>
        <w:t>prawnej oraz źródeł finansowania</w:t>
      </w:r>
      <w:r w:rsidRPr="002469D6">
        <w:rPr>
          <w:sz w:val="24"/>
          <w:szCs w:val="24"/>
        </w:rPr>
        <w:t xml:space="preserve"> (orzeczenie w sprawie C-41/90 </w:t>
      </w:r>
      <w:proofErr w:type="spellStart"/>
      <w:r w:rsidRPr="002469D6">
        <w:rPr>
          <w:sz w:val="24"/>
          <w:szCs w:val="24"/>
        </w:rPr>
        <w:t>Höfner</w:t>
      </w:r>
      <w:proofErr w:type="spellEnd"/>
      <w:r w:rsidRPr="002469D6">
        <w:rPr>
          <w:sz w:val="24"/>
          <w:szCs w:val="24"/>
        </w:rPr>
        <w:t xml:space="preserve"> i </w:t>
      </w:r>
      <w:proofErr w:type="spellStart"/>
      <w:r w:rsidRPr="002469D6">
        <w:rPr>
          <w:sz w:val="24"/>
          <w:szCs w:val="24"/>
        </w:rPr>
        <w:t>Elser</w:t>
      </w:r>
      <w:proofErr w:type="spellEnd"/>
      <w:r w:rsidRPr="002469D6">
        <w:rPr>
          <w:sz w:val="24"/>
          <w:szCs w:val="24"/>
        </w:rPr>
        <w:t xml:space="preserve"> przeciwko </w:t>
      </w:r>
      <w:proofErr w:type="spellStart"/>
      <w:r w:rsidRPr="002469D6">
        <w:rPr>
          <w:sz w:val="24"/>
          <w:szCs w:val="24"/>
        </w:rPr>
        <w:t>Macrotron</w:t>
      </w:r>
      <w:proofErr w:type="spellEnd"/>
      <w:r w:rsidRPr="002469D6">
        <w:rPr>
          <w:sz w:val="24"/>
          <w:szCs w:val="24"/>
        </w:rPr>
        <w:t xml:space="preserve"> GmbH, Zb. Orz. TS 1991, s. I-1979). Co więcej, nie ma znaczenia fakt, iż są to podmioty nienastawione na zysk (</w:t>
      </w:r>
      <w:r w:rsidRPr="002469D6">
        <w:rPr>
          <w:rStyle w:val="Uwydatnienie"/>
          <w:sz w:val="24"/>
          <w:szCs w:val="24"/>
        </w:rPr>
        <w:t xml:space="preserve">non-profit </w:t>
      </w:r>
      <w:proofErr w:type="spellStart"/>
      <w:r w:rsidRPr="002469D6">
        <w:rPr>
          <w:rStyle w:val="Uwydatnienie"/>
          <w:sz w:val="24"/>
          <w:szCs w:val="24"/>
        </w:rPr>
        <w:t>organisation</w:t>
      </w:r>
      <w:proofErr w:type="spellEnd"/>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rsidR="00C51187" w:rsidRPr="002469D6"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8" w:name="_ftnref2"/>
      <w:bookmarkEnd w:id="8"/>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rsidR="005C0085" w:rsidRPr="00B94F29" w:rsidRDefault="00CE685B" w:rsidP="00B94F29">
      <w:pPr>
        <w:jc w:val="both"/>
        <w:rPr>
          <w:b/>
          <w:sz w:val="24"/>
          <w:szCs w:val="24"/>
        </w:rPr>
      </w:pPr>
      <w:bookmarkStart w:id="9" w:name="_ftn2"/>
      <w:bookmarkEnd w:id="9"/>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zachęty, zostały opisane w artykule 6 </w:t>
      </w:r>
      <w:r w:rsidR="00933D17" w:rsidRPr="00933D17">
        <w:rPr>
          <w:b/>
          <w:sz w:val="24"/>
          <w:szCs w:val="24"/>
        </w:rPr>
        <w:t xml:space="preserve">rozporządzenia </w:t>
      </w:r>
      <w:r w:rsidR="00A02516" w:rsidRPr="00933D17">
        <w:rPr>
          <w:b/>
          <w:sz w:val="24"/>
          <w:szCs w:val="24"/>
        </w:rPr>
        <w:t xml:space="preserve">ogólnego </w:t>
      </w:r>
      <w:r w:rsidR="00933D17" w:rsidRPr="00933D17">
        <w:rPr>
          <w:b/>
          <w:sz w:val="24"/>
          <w:szCs w:val="24"/>
        </w:rPr>
        <w:t>w sprawie wyłączeń blokowych.</w:t>
      </w:r>
    </w:p>
    <w:p w:rsidR="00B94195" w:rsidRPr="00676B45" w:rsidRDefault="00D326D4" w:rsidP="0056093D">
      <w:pPr>
        <w:pStyle w:val="Nagwek1"/>
        <w:numPr>
          <w:ilvl w:val="0"/>
          <w:numId w:val="4"/>
        </w:numPr>
      </w:pPr>
      <w:bookmarkStart w:id="10" w:name="_Toc514928883"/>
      <w:r>
        <w:t>Definicja celów projektu</w:t>
      </w:r>
      <w:bookmarkEnd w:id="10"/>
    </w:p>
    <w:p w:rsidR="00676B45" w:rsidRPr="005C0085" w:rsidRDefault="00676B45" w:rsidP="005C0085">
      <w:pPr>
        <w:pStyle w:val="Bezodstpw"/>
      </w:pPr>
    </w:p>
    <w:p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rsidR="003F3906" w:rsidRPr="00335AD4" w:rsidRDefault="003F3906" w:rsidP="00335AD4">
      <w:pPr>
        <w:pStyle w:val="Akapitzlist"/>
        <w:autoSpaceDE w:val="0"/>
        <w:autoSpaceDN w:val="0"/>
        <w:adjustRightInd w:val="0"/>
        <w:ind w:left="0"/>
        <w:jc w:val="both"/>
        <w:rPr>
          <w:sz w:val="16"/>
          <w:szCs w:val="16"/>
        </w:rPr>
      </w:pPr>
    </w:p>
    <w:p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 xml:space="preserve">należy przedstawić logikę powiązań </w:t>
      </w:r>
      <w:proofErr w:type="spellStart"/>
      <w:r w:rsidRPr="00A775EB">
        <w:rPr>
          <w:sz w:val="24"/>
          <w:szCs w:val="24"/>
        </w:rPr>
        <w:t>przycz</w:t>
      </w:r>
      <w:r w:rsidR="0098341B">
        <w:rPr>
          <w:sz w:val="24"/>
          <w:szCs w:val="24"/>
        </w:rPr>
        <w:t>ynowo-skutkowych</w:t>
      </w:r>
      <w:proofErr w:type="spellEnd"/>
      <w:r w:rsidR="0098341B">
        <w:rPr>
          <w:sz w:val="24"/>
          <w:szCs w:val="24"/>
        </w:rPr>
        <w:t xml:space="preserve"> między celami, które </w:t>
      </w:r>
      <w:r w:rsidRPr="00A775EB">
        <w:rPr>
          <w:sz w:val="24"/>
          <w:szCs w:val="24"/>
        </w:rPr>
        <w:t xml:space="preserve">powinny się wzajemnie uzupełniać. </w:t>
      </w:r>
    </w:p>
    <w:p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rsidR="0098341B" w:rsidRDefault="0098341B" w:rsidP="00A775EB">
      <w:pPr>
        <w:pStyle w:val="Akapitzlist"/>
        <w:autoSpaceDE w:val="0"/>
        <w:autoSpaceDN w:val="0"/>
        <w:adjustRightInd w:val="0"/>
        <w:ind w:left="0"/>
        <w:jc w:val="both"/>
        <w:rPr>
          <w:sz w:val="24"/>
          <w:szCs w:val="24"/>
        </w:rPr>
      </w:pPr>
    </w:p>
    <w:p w:rsidR="007C7432" w:rsidRPr="007C7432" w:rsidRDefault="007C7432" w:rsidP="00A775EB">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rsidR="007C7432" w:rsidRPr="007C7432" w:rsidRDefault="00A775EB" w:rsidP="00A775EB">
      <w:pPr>
        <w:pStyle w:val="Akapitzlist"/>
        <w:adjustRightInd w:val="0"/>
        <w:ind w:left="0"/>
        <w:jc w:val="both"/>
        <w:rPr>
          <w:sz w:val="24"/>
          <w:szCs w:val="24"/>
        </w:rPr>
      </w:pPr>
      <w:r>
        <w:rPr>
          <w:sz w:val="24"/>
          <w:szCs w:val="24"/>
        </w:rPr>
        <w:lastRenderedPageBreak/>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5421A5" w:rsidRPr="005421A5" w:rsidRDefault="005421A5" w:rsidP="005421A5">
      <w:pPr>
        <w:pStyle w:val="Nagwek2"/>
        <w:numPr>
          <w:ilvl w:val="1"/>
          <w:numId w:val="4"/>
        </w:numPr>
        <w:rPr>
          <w:i w:val="0"/>
        </w:rPr>
      </w:pPr>
      <w:bookmarkStart w:id="11" w:name="_Toc514928884"/>
      <w:r w:rsidRPr="005421A5">
        <w:rPr>
          <w:i w:val="0"/>
        </w:rPr>
        <w:t>Wskaźniki r</w:t>
      </w:r>
      <w:r>
        <w:rPr>
          <w:i w:val="0"/>
        </w:rPr>
        <w:t>ealizacji celów p</w:t>
      </w:r>
      <w:r w:rsidRPr="005421A5">
        <w:rPr>
          <w:i w:val="0"/>
        </w:rPr>
        <w:t>rojektu</w:t>
      </w:r>
      <w:bookmarkEnd w:id="11"/>
      <w:r w:rsidRPr="005421A5">
        <w:rPr>
          <w:i w:val="0"/>
        </w:rPr>
        <w:t xml:space="preserve"> </w:t>
      </w:r>
    </w:p>
    <w:p w:rsidR="005421A5" w:rsidRDefault="005421A5" w:rsidP="005C0085">
      <w:pPr>
        <w:pStyle w:val="Bezodstpw"/>
      </w:pP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musi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rsidR="00126A33" w:rsidRPr="00126A33" w:rsidRDefault="00126A33" w:rsidP="00126A33">
      <w:pPr>
        <w:pStyle w:val="Default"/>
        <w:spacing w:line="276" w:lineRule="auto"/>
      </w:pPr>
    </w:p>
    <w:p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A02516" w:rsidTr="001B7FBC">
        <w:trPr>
          <w:trHeight w:val="537"/>
        </w:trPr>
        <w:tc>
          <w:tcPr>
            <w:tcW w:w="2808" w:type="dxa"/>
          </w:tcPr>
          <w:p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rsidR="001B7FBC" w:rsidRPr="00A02516" w:rsidRDefault="001B7FBC" w:rsidP="00A02516">
            <w:pPr>
              <w:pStyle w:val="Bezodstpw"/>
            </w:pPr>
            <w:r w:rsidRPr="00A02516">
              <w:t>Źródło danych</w:t>
            </w:r>
          </w:p>
        </w:tc>
        <w:tc>
          <w:tcPr>
            <w:tcW w:w="826" w:type="dxa"/>
          </w:tcPr>
          <w:p w:rsidR="001B7FBC" w:rsidRPr="00A02516" w:rsidRDefault="001B7FBC" w:rsidP="00A02516">
            <w:pPr>
              <w:pStyle w:val="Bezodstpw"/>
            </w:pPr>
            <w:r w:rsidRPr="00A02516">
              <w:t>Jedn. miary</w:t>
            </w:r>
          </w:p>
        </w:tc>
        <w:tc>
          <w:tcPr>
            <w:tcW w:w="1107" w:type="dxa"/>
          </w:tcPr>
          <w:p w:rsidR="001B7FBC" w:rsidRPr="00A02516" w:rsidRDefault="001B7FBC" w:rsidP="001B7FBC">
            <w:pPr>
              <w:pStyle w:val="Bezodstpw"/>
              <w:rPr>
                <w:rFonts w:cs="Arial"/>
              </w:rPr>
            </w:pPr>
            <w:r>
              <w:rPr>
                <w:rFonts w:cs="Arial"/>
              </w:rPr>
              <w:t>Wartość bazowa</w:t>
            </w:r>
          </w:p>
        </w:tc>
        <w:tc>
          <w:tcPr>
            <w:tcW w:w="1181" w:type="dxa"/>
          </w:tcPr>
          <w:p w:rsidR="001B7FBC" w:rsidRPr="001B7FBC" w:rsidRDefault="001B7FBC" w:rsidP="00A02516">
            <w:pPr>
              <w:pStyle w:val="Bezodstpw"/>
              <w:rPr>
                <w:szCs w:val="20"/>
              </w:rPr>
            </w:pPr>
            <w:r>
              <w:rPr>
                <w:szCs w:val="20"/>
              </w:rPr>
              <w:t>Wartość docelowa</w:t>
            </w:r>
          </w:p>
        </w:tc>
      </w:tr>
      <w:tr w:rsidR="001B7FBC" w:rsidTr="001B7FBC">
        <w:trPr>
          <w:trHeight w:val="537"/>
        </w:trPr>
        <w:tc>
          <w:tcPr>
            <w:tcW w:w="2808" w:type="dxa"/>
          </w:tcPr>
          <w:p w:rsidR="001B7FBC" w:rsidRPr="002F37EE" w:rsidRDefault="001B7FBC" w:rsidP="00052A1E">
            <w:pPr>
              <w:rPr>
                <w:rFonts w:ascii="Arial" w:hAnsi="Arial" w:cs="Arial"/>
                <w:sz w:val="20"/>
                <w:szCs w:val="20"/>
              </w:rPr>
            </w:pPr>
          </w:p>
        </w:tc>
        <w:tc>
          <w:tcPr>
            <w:tcW w:w="1206" w:type="dxa"/>
          </w:tcPr>
          <w:p w:rsidR="001B7FBC" w:rsidRPr="002F37EE" w:rsidRDefault="001B7FBC" w:rsidP="00052A1E">
            <w:pPr>
              <w:rPr>
                <w:rFonts w:ascii="Arial" w:hAnsi="Arial" w:cs="Arial"/>
                <w:sz w:val="20"/>
                <w:szCs w:val="20"/>
              </w:rPr>
            </w:pPr>
          </w:p>
        </w:tc>
        <w:tc>
          <w:tcPr>
            <w:tcW w:w="826" w:type="dxa"/>
          </w:tcPr>
          <w:p w:rsidR="001B7FBC" w:rsidRPr="00CF05A2" w:rsidRDefault="001B7FBC" w:rsidP="00052A1E">
            <w:pPr>
              <w:jc w:val="center"/>
              <w:rPr>
                <w:rFonts w:ascii="Arial" w:hAnsi="Arial" w:cs="Arial"/>
                <w:sz w:val="20"/>
                <w:szCs w:val="20"/>
              </w:rPr>
            </w:pPr>
          </w:p>
        </w:tc>
        <w:tc>
          <w:tcPr>
            <w:tcW w:w="1107" w:type="dxa"/>
          </w:tcPr>
          <w:p w:rsidR="001B7FBC" w:rsidRPr="002F37EE" w:rsidRDefault="001B7FBC" w:rsidP="00052A1E">
            <w:pPr>
              <w:rPr>
                <w:rFonts w:ascii="Arial" w:hAnsi="Arial" w:cs="Arial"/>
                <w:sz w:val="20"/>
                <w:szCs w:val="20"/>
              </w:rPr>
            </w:pPr>
          </w:p>
        </w:tc>
        <w:tc>
          <w:tcPr>
            <w:tcW w:w="1181" w:type="dxa"/>
          </w:tcPr>
          <w:p w:rsidR="001B7FBC" w:rsidRPr="002F37EE" w:rsidRDefault="001B7FBC" w:rsidP="00052A1E">
            <w:pPr>
              <w:rPr>
                <w:rFonts w:ascii="Arial" w:hAnsi="Arial" w:cs="Arial"/>
                <w:sz w:val="20"/>
                <w:szCs w:val="20"/>
              </w:rPr>
            </w:pPr>
          </w:p>
        </w:tc>
      </w:tr>
      <w:tr w:rsidR="001B7FBC" w:rsidTr="001B7FBC">
        <w:trPr>
          <w:trHeight w:val="537"/>
        </w:trPr>
        <w:tc>
          <w:tcPr>
            <w:tcW w:w="2808" w:type="dxa"/>
          </w:tcPr>
          <w:p w:rsidR="001B7FBC" w:rsidRPr="00BC6E50" w:rsidRDefault="001B7FBC" w:rsidP="00052A1E">
            <w:pPr>
              <w:rPr>
                <w:rFonts w:ascii="Arial" w:hAnsi="Arial" w:cs="Arial"/>
                <w:sz w:val="20"/>
                <w:szCs w:val="20"/>
              </w:rPr>
            </w:pPr>
          </w:p>
        </w:tc>
        <w:tc>
          <w:tcPr>
            <w:tcW w:w="1206" w:type="dxa"/>
          </w:tcPr>
          <w:p w:rsidR="001B7FBC" w:rsidRPr="00BC6E50" w:rsidRDefault="001B7FBC" w:rsidP="00052A1E">
            <w:pPr>
              <w:rPr>
                <w:rFonts w:ascii="Arial" w:hAnsi="Arial" w:cs="Arial"/>
                <w:sz w:val="20"/>
                <w:szCs w:val="20"/>
              </w:rPr>
            </w:pPr>
          </w:p>
        </w:tc>
        <w:tc>
          <w:tcPr>
            <w:tcW w:w="826" w:type="dxa"/>
          </w:tcPr>
          <w:p w:rsidR="001B7FBC" w:rsidRPr="00BC6E50" w:rsidRDefault="001B7FBC" w:rsidP="00052A1E">
            <w:pPr>
              <w:jc w:val="center"/>
              <w:rPr>
                <w:rFonts w:ascii="Arial" w:hAnsi="Arial" w:cs="Arial"/>
                <w:sz w:val="20"/>
                <w:szCs w:val="20"/>
              </w:rPr>
            </w:pPr>
          </w:p>
        </w:tc>
        <w:tc>
          <w:tcPr>
            <w:tcW w:w="1107" w:type="dxa"/>
          </w:tcPr>
          <w:p w:rsidR="001B7FBC" w:rsidRPr="00BC6E50" w:rsidRDefault="001B7FBC" w:rsidP="00052A1E">
            <w:pPr>
              <w:rPr>
                <w:rFonts w:ascii="Arial" w:hAnsi="Arial" w:cs="Arial"/>
                <w:sz w:val="20"/>
                <w:szCs w:val="20"/>
              </w:rPr>
            </w:pPr>
          </w:p>
        </w:tc>
        <w:tc>
          <w:tcPr>
            <w:tcW w:w="1181" w:type="dxa"/>
          </w:tcPr>
          <w:p w:rsidR="001B7FBC" w:rsidRPr="00A23CFC" w:rsidRDefault="001B7FBC" w:rsidP="00052A1E">
            <w:pPr>
              <w:rPr>
                <w:rFonts w:ascii="Arial" w:hAnsi="Arial" w:cs="Arial"/>
                <w:sz w:val="20"/>
                <w:szCs w:val="20"/>
              </w:rPr>
            </w:pPr>
          </w:p>
        </w:tc>
      </w:tr>
    </w:tbl>
    <w:p w:rsidR="00F2795C" w:rsidRDefault="00F2795C" w:rsidP="00967798">
      <w:pPr>
        <w:autoSpaceDE w:val="0"/>
        <w:autoSpaceDN w:val="0"/>
        <w:adjustRightInd w:val="0"/>
        <w:spacing w:line="240" w:lineRule="auto"/>
        <w:jc w:val="both"/>
        <w:rPr>
          <w:color w:val="FF0000"/>
          <w:sz w:val="24"/>
          <w:szCs w:val="24"/>
        </w:rPr>
      </w:pPr>
    </w:p>
    <w:p w:rsidR="001769C3" w:rsidRPr="00550D78" w:rsidRDefault="001769C3" w:rsidP="00550D78">
      <w:pPr>
        <w:pStyle w:val="Nagwek1"/>
        <w:numPr>
          <w:ilvl w:val="0"/>
          <w:numId w:val="4"/>
        </w:numPr>
        <w:rPr>
          <w:rFonts w:cs="Arial"/>
        </w:rPr>
      </w:pPr>
      <w:bookmarkStart w:id="12" w:name="_Toc514928885"/>
      <w:r w:rsidRPr="00550D78">
        <w:lastRenderedPageBreak/>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2"/>
    </w:p>
    <w:p w:rsidR="00550D78" w:rsidRDefault="00550D78" w:rsidP="005C0085">
      <w:pPr>
        <w:pStyle w:val="Bezodstpw"/>
      </w:pPr>
    </w:p>
    <w:p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rsidR="00F6508B" w:rsidRPr="004D6A3D" w:rsidRDefault="00F6508B" w:rsidP="004D6A3D">
      <w:pPr>
        <w:pStyle w:val="Nagwek1"/>
        <w:numPr>
          <w:ilvl w:val="0"/>
          <w:numId w:val="4"/>
        </w:numPr>
      </w:pPr>
      <w:bookmarkStart w:id="13" w:name="_Toc514928886"/>
      <w:r>
        <w:t>I</w:t>
      </w:r>
      <w:r w:rsidR="00C97013">
        <w:t>nstytucjonalna i prawna</w:t>
      </w:r>
      <w:r>
        <w:t xml:space="preserve"> wykonalność projektu</w:t>
      </w:r>
      <w:bookmarkEnd w:id="13"/>
    </w:p>
    <w:p w:rsidR="00F6508B" w:rsidRPr="004D6A3D" w:rsidRDefault="00DF69F8" w:rsidP="00DF69F8">
      <w:pPr>
        <w:pStyle w:val="Nagwek2"/>
        <w:numPr>
          <w:ilvl w:val="1"/>
          <w:numId w:val="4"/>
        </w:numPr>
        <w:rPr>
          <w:i w:val="0"/>
        </w:rPr>
      </w:pPr>
      <w:bookmarkStart w:id="14" w:name="_Toc514928887"/>
      <w:r w:rsidRPr="004D6A3D">
        <w:rPr>
          <w:i w:val="0"/>
        </w:rPr>
        <w:t>Analiza instytucjonalna</w:t>
      </w:r>
      <w:bookmarkEnd w:id="14"/>
    </w:p>
    <w:p w:rsidR="004D6A3D" w:rsidRDefault="004D6A3D" w:rsidP="005C0085">
      <w:pPr>
        <w:pStyle w:val="Bezodstpw"/>
      </w:pP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rsidR="004D6A3D" w:rsidRPr="004D6A3D" w:rsidRDefault="004D6A3D" w:rsidP="004D6A3D">
      <w:pPr>
        <w:pStyle w:val="Nagwek2"/>
        <w:numPr>
          <w:ilvl w:val="1"/>
          <w:numId w:val="4"/>
        </w:numPr>
        <w:rPr>
          <w:i w:val="0"/>
        </w:rPr>
      </w:pPr>
      <w:bookmarkStart w:id="15" w:name="_Toc514928888"/>
      <w:r w:rsidRPr="004D6A3D">
        <w:rPr>
          <w:i w:val="0"/>
        </w:rPr>
        <w:lastRenderedPageBreak/>
        <w:t>A</w:t>
      </w:r>
      <w:r w:rsidR="00E8388C">
        <w:rPr>
          <w:i w:val="0"/>
        </w:rPr>
        <w:t>naliza prawna</w:t>
      </w:r>
      <w:bookmarkEnd w:id="15"/>
    </w:p>
    <w:p w:rsidR="004D6A3D" w:rsidRDefault="004D6A3D" w:rsidP="005C0085">
      <w:pPr>
        <w:pStyle w:val="Bezodstpw"/>
      </w:pPr>
    </w:p>
    <w:p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rsidR="00167613" w:rsidRPr="004D6A3D" w:rsidRDefault="00167613" w:rsidP="00167613">
      <w:pPr>
        <w:pStyle w:val="Nagwek2"/>
        <w:numPr>
          <w:ilvl w:val="1"/>
          <w:numId w:val="4"/>
        </w:numPr>
        <w:rPr>
          <w:i w:val="0"/>
        </w:rPr>
      </w:pPr>
      <w:bookmarkStart w:id="16" w:name="_Toc514928889"/>
      <w:r w:rsidRPr="004D6A3D">
        <w:rPr>
          <w:i w:val="0"/>
        </w:rPr>
        <w:t>A</w:t>
      </w:r>
      <w:r>
        <w:rPr>
          <w:i w:val="0"/>
        </w:rPr>
        <w:t>naliza trwałości</w:t>
      </w:r>
      <w:bookmarkEnd w:id="16"/>
    </w:p>
    <w:p w:rsidR="00167613" w:rsidRDefault="00167613" w:rsidP="005C0085">
      <w:pPr>
        <w:pStyle w:val="Bezodstpw"/>
      </w:pPr>
    </w:p>
    <w:p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rsidR="005012BE" w:rsidRDefault="00941BE7" w:rsidP="00941BE7">
      <w:pPr>
        <w:pStyle w:val="Akapitzlist"/>
        <w:ind w:left="0"/>
        <w:jc w:val="both"/>
        <w:rPr>
          <w:sz w:val="24"/>
          <w:szCs w:val="24"/>
        </w:rPr>
      </w:pPr>
      <w:r>
        <w:rPr>
          <w:sz w:val="24"/>
          <w:szCs w:val="24"/>
        </w:rPr>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rsidR="00167613" w:rsidRPr="00167613" w:rsidRDefault="00167613" w:rsidP="00167613">
      <w:pPr>
        <w:pStyle w:val="Akapitzlist"/>
        <w:jc w:val="both"/>
        <w:rPr>
          <w:sz w:val="24"/>
          <w:szCs w:val="24"/>
        </w:rPr>
      </w:pPr>
    </w:p>
    <w:p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rsidR="00C26C8E" w:rsidRPr="004D6A3D" w:rsidRDefault="00C26C8E" w:rsidP="00C26C8E">
      <w:pPr>
        <w:pStyle w:val="Nagwek2"/>
        <w:numPr>
          <w:ilvl w:val="1"/>
          <w:numId w:val="4"/>
        </w:numPr>
        <w:rPr>
          <w:i w:val="0"/>
        </w:rPr>
      </w:pPr>
      <w:bookmarkStart w:id="17" w:name="_Toc514928890"/>
      <w:r>
        <w:rPr>
          <w:i w:val="0"/>
        </w:rPr>
        <w:lastRenderedPageBreak/>
        <w:t>Harmonogram wdrożenia projektu</w:t>
      </w:r>
      <w:bookmarkEnd w:id="17"/>
    </w:p>
    <w:p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 xml:space="preserve">wykres </w:t>
      </w:r>
      <w:proofErr w:type="spellStart"/>
      <w:r w:rsidRPr="005E1856">
        <w:rPr>
          <w:rFonts w:ascii="Calibri" w:hAnsi="Calibri" w:cs="EUAlbertina"/>
          <w:color w:val="000000"/>
        </w:rPr>
        <w:t>Gantt’a</w:t>
      </w:r>
      <w:proofErr w:type="spellEnd"/>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511"/>
        <w:gridCol w:w="609"/>
        <w:gridCol w:w="705"/>
        <w:gridCol w:w="728"/>
        <w:gridCol w:w="512"/>
        <w:gridCol w:w="609"/>
        <w:gridCol w:w="705"/>
        <w:gridCol w:w="728"/>
        <w:gridCol w:w="512"/>
        <w:gridCol w:w="609"/>
        <w:gridCol w:w="705"/>
        <w:gridCol w:w="728"/>
      </w:tblGrid>
      <w:tr w:rsidR="00AF58B9" w:rsidRPr="00246F1C" w:rsidTr="00246F1C">
        <w:trPr>
          <w:jc w:val="center"/>
        </w:trPr>
        <w:tc>
          <w:tcPr>
            <w:tcW w:w="1337" w:type="pct"/>
            <w:vMerge w:val="restart"/>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rsidTr="00246F1C">
        <w:trPr>
          <w:jc w:val="center"/>
        </w:trPr>
        <w:tc>
          <w:tcPr>
            <w:tcW w:w="1337" w:type="pct"/>
            <w:vMerge/>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pPr>
              <w:rPr>
                <w:sz w:val="20"/>
                <w:szCs w:val="20"/>
              </w:rPr>
            </w:pPr>
            <w:r w:rsidRPr="00246F1C">
              <w:rPr>
                <w:sz w:val="20"/>
                <w:szCs w:val="20"/>
              </w:rPr>
              <w:t>Prace projektowe</w:t>
            </w: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D67FA1">
            <w:pPr>
              <w:rPr>
                <w:sz w:val="20"/>
                <w:szCs w:val="20"/>
              </w:rPr>
            </w:pPr>
            <w:r w:rsidRPr="00246F1C">
              <w:rPr>
                <w:sz w:val="20"/>
                <w:szCs w:val="20"/>
              </w:rPr>
              <w:t>Decyzje/zezwolenia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808080"/>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FFFFFF"/>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shd w:val="clear" w:color="auto" w:fill="808080"/>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FFFFFF"/>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shd w:val="clear" w:color="auto" w:fill="808080"/>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r w:rsidR="00AF58B9" w:rsidRPr="00246F1C" w:rsidTr="00246F1C">
        <w:trPr>
          <w:trHeight w:val="481"/>
          <w:jc w:val="center"/>
        </w:trPr>
        <w:tc>
          <w:tcPr>
            <w:tcW w:w="1337" w:type="pct"/>
          </w:tcPr>
          <w:p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c>
          <w:tcPr>
            <w:tcW w:w="245" w:type="pct"/>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shd w:val="clear" w:color="auto" w:fill="808080"/>
          </w:tcPr>
          <w:p w:rsidR="00AF58B9" w:rsidRPr="00246F1C" w:rsidRDefault="00AF58B9" w:rsidP="005B6BA0">
            <w:pPr>
              <w:pStyle w:val="Default"/>
              <w:rPr>
                <w:rFonts w:ascii="Calibri" w:hAnsi="Calibri"/>
                <w:sz w:val="20"/>
                <w:szCs w:val="20"/>
              </w:rPr>
            </w:pPr>
          </w:p>
        </w:tc>
        <w:tc>
          <w:tcPr>
            <w:tcW w:w="348" w:type="pct"/>
            <w:shd w:val="clear" w:color="auto" w:fill="FFFFFF"/>
          </w:tcPr>
          <w:p w:rsidR="00AF58B9" w:rsidRPr="00246F1C" w:rsidRDefault="00AF58B9" w:rsidP="005B6BA0">
            <w:pPr>
              <w:pStyle w:val="Default"/>
              <w:rPr>
                <w:rFonts w:ascii="Calibri" w:hAnsi="Calibri"/>
                <w:sz w:val="20"/>
                <w:szCs w:val="20"/>
              </w:rPr>
            </w:pPr>
          </w:p>
        </w:tc>
        <w:tc>
          <w:tcPr>
            <w:tcW w:w="245" w:type="pct"/>
            <w:shd w:val="clear" w:color="auto" w:fill="FFFFFF"/>
          </w:tcPr>
          <w:p w:rsidR="00AF58B9" w:rsidRPr="00246F1C" w:rsidRDefault="00AF58B9" w:rsidP="005B6BA0">
            <w:pPr>
              <w:pStyle w:val="Default"/>
              <w:rPr>
                <w:rFonts w:ascii="Calibri" w:hAnsi="Calibri"/>
                <w:sz w:val="20"/>
                <w:szCs w:val="20"/>
              </w:rPr>
            </w:pPr>
          </w:p>
        </w:tc>
        <w:tc>
          <w:tcPr>
            <w:tcW w:w="291" w:type="pct"/>
          </w:tcPr>
          <w:p w:rsidR="00AF58B9" w:rsidRPr="00246F1C" w:rsidRDefault="00AF58B9" w:rsidP="005B6BA0">
            <w:pPr>
              <w:pStyle w:val="Default"/>
              <w:rPr>
                <w:rFonts w:ascii="Calibri" w:hAnsi="Calibri"/>
                <w:sz w:val="20"/>
                <w:szCs w:val="20"/>
              </w:rPr>
            </w:pPr>
          </w:p>
        </w:tc>
        <w:tc>
          <w:tcPr>
            <w:tcW w:w="337" w:type="pct"/>
          </w:tcPr>
          <w:p w:rsidR="00AF58B9" w:rsidRPr="00246F1C" w:rsidRDefault="00AF58B9" w:rsidP="005B6BA0">
            <w:pPr>
              <w:pStyle w:val="Default"/>
              <w:rPr>
                <w:rFonts w:ascii="Calibri" w:hAnsi="Calibri"/>
                <w:sz w:val="20"/>
                <w:szCs w:val="20"/>
              </w:rPr>
            </w:pPr>
          </w:p>
        </w:tc>
        <w:tc>
          <w:tcPr>
            <w:tcW w:w="348" w:type="pct"/>
          </w:tcPr>
          <w:p w:rsidR="00AF58B9" w:rsidRPr="00246F1C" w:rsidRDefault="00AF58B9" w:rsidP="005B6BA0">
            <w:pPr>
              <w:pStyle w:val="Default"/>
              <w:rPr>
                <w:rFonts w:ascii="Calibri" w:hAnsi="Calibri"/>
                <w:sz w:val="20"/>
                <w:szCs w:val="20"/>
              </w:rPr>
            </w:pPr>
          </w:p>
        </w:tc>
      </w:tr>
    </w:tbl>
    <w:p w:rsidR="00ED487E" w:rsidRPr="005E1856" w:rsidRDefault="00ED487E" w:rsidP="005C0085">
      <w:pPr>
        <w:pStyle w:val="Bezodstpw"/>
      </w:pPr>
    </w:p>
    <w:p w:rsidR="00F2795C" w:rsidRDefault="002B4F35" w:rsidP="002B4F35">
      <w:pPr>
        <w:pStyle w:val="Nagwek1"/>
        <w:numPr>
          <w:ilvl w:val="0"/>
          <w:numId w:val="4"/>
        </w:numPr>
      </w:pPr>
      <w:bookmarkStart w:id="18" w:name="_Toc514928891"/>
      <w:r>
        <w:t>Analiza wykonalności, analiza popytu oraz analiza opcji</w:t>
      </w:r>
      <w:bookmarkEnd w:id="18"/>
    </w:p>
    <w:p w:rsidR="002B4F35" w:rsidRDefault="002B4F35" w:rsidP="005C0085">
      <w:pPr>
        <w:pStyle w:val="Bezodstpw"/>
      </w:pPr>
    </w:p>
    <w:p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w:t>
      </w:r>
      <w:r w:rsidR="00FB2F99" w:rsidRPr="00E97161">
        <w:rPr>
          <w:sz w:val="24"/>
          <w:szCs w:val="24"/>
        </w:rPr>
        <w:lastRenderedPageBreak/>
        <w:t xml:space="preserve">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rsidR="007016DF" w:rsidRPr="007016DF" w:rsidRDefault="007016DF" w:rsidP="00E97161">
      <w:pPr>
        <w:pStyle w:val="Bezodstpw"/>
        <w:spacing w:line="276" w:lineRule="auto"/>
        <w:jc w:val="both"/>
        <w:rPr>
          <w:sz w:val="16"/>
          <w:szCs w:val="16"/>
        </w:rPr>
      </w:pPr>
    </w:p>
    <w:p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rsidR="00F2795C" w:rsidRDefault="008141CD" w:rsidP="008141CD">
      <w:pPr>
        <w:pStyle w:val="Nagwek2"/>
        <w:numPr>
          <w:ilvl w:val="1"/>
          <w:numId w:val="4"/>
        </w:numPr>
        <w:rPr>
          <w:i w:val="0"/>
        </w:rPr>
      </w:pPr>
      <w:bookmarkStart w:id="19" w:name="_Toc514928892"/>
      <w:r w:rsidRPr="008141CD">
        <w:rPr>
          <w:i w:val="0"/>
        </w:rPr>
        <w:t>Analiza wykonalności</w:t>
      </w:r>
      <w:bookmarkEnd w:id="19"/>
    </w:p>
    <w:p w:rsidR="008141CD" w:rsidRDefault="008141CD" w:rsidP="005C0085">
      <w:pPr>
        <w:pStyle w:val="Bezodstpw"/>
      </w:pPr>
    </w:p>
    <w:p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rsidR="006A2C79" w:rsidRPr="007E72A6" w:rsidRDefault="006A2C79" w:rsidP="007E72A6">
      <w:pPr>
        <w:pStyle w:val="Nagwek2"/>
        <w:numPr>
          <w:ilvl w:val="1"/>
          <w:numId w:val="4"/>
        </w:numPr>
        <w:rPr>
          <w:i w:val="0"/>
        </w:rPr>
      </w:pPr>
      <w:bookmarkStart w:id="20" w:name="_Toc514928893"/>
      <w:r w:rsidRPr="007E72A6">
        <w:rPr>
          <w:i w:val="0"/>
        </w:rPr>
        <w:t>Analiza popytu</w:t>
      </w:r>
      <w:bookmarkEnd w:id="20"/>
    </w:p>
    <w:p w:rsidR="006A2C79" w:rsidRDefault="006A2C79" w:rsidP="005C0085">
      <w:pPr>
        <w:pStyle w:val="Bezodstpw"/>
      </w:pPr>
    </w:p>
    <w:p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5C0085" w:rsidRDefault="00E51C38" w:rsidP="005C0085">
      <w:pPr>
        <w:pStyle w:val="Default"/>
        <w:spacing w:line="276" w:lineRule="auto"/>
        <w:jc w:val="both"/>
        <w:rPr>
          <w:rFonts w:ascii="Calibri" w:hAnsi="Calibri"/>
        </w:rPr>
      </w:pPr>
      <w:r>
        <w:rPr>
          <w:rFonts w:ascii="Calibri" w:hAnsi="Calibri"/>
        </w:rPr>
        <w:lastRenderedPageBreak/>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rsidR="00D75B2C" w:rsidRPr="00FF3AB1" w:rsidRDefault="00D75B2C" w:rsidP="00FF3AB1">
      <w:pPr>
        <w:pStyle w:val="Nagwek2"/>
        <w:numPr>
          <w:ilvl w:val="1"/>
          <w:numId w:val="4"/>
        </w:numPr>
        <w:rPr>
          <w:i w:val="0"/>
        </w:rPr>
      </w:pPr>
      <w:bookmarkStart w:id="21" w:name="_Toc514928894"/>
      <w:r w:rsidRPr="00FF3AB1">
        <w:rPr>
          <w:i w:val="0"/>
        </w:rPr>
        <w:t>Analiza opcji</w:t>
      </w:r>
      <w:r w:rsidR="00FF3AB1" w:rsidRPr="00FF3AB1">
        <w:rPr>
          <w:i w:val="0"/>
        </w:rPr>
        <w:t xml:space="preserve"> </w:t>
      </w:r>
      <w:r w:rsidR="00FF3AB1">
        <w:rPr>
          <w:i w:val="0"/>
        </w:rPr>
        <w:t>(rozwiązań alternatywnych)</w:t>
      </w:r>
      <w:bookmarkEnd w:id="21"/>
    </w:p>
    <w:p w:rsidR="00733BC1" w:rsidRDefault="00733BC1" w:rsidP="00733BC1">
      <w:pPr>
        <w:pStyle w:val="Default"/>
      </w:pPr>
    </w:p>
    <w:p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DC031B" w:rsidRDefault="005F7666" w:rsidP="005F7666">
      <w:pPr>
        <w:pStyle w:val="Bezodstpw"/>
        <w:spacing w:line="276" w:lineRule="auto"/>
        <w:jc w:val="both"/>
        <w:rPr>
          <w:sz w:val="24"/>
          <w:szCs w:val="24"/>
        </w:rPr>
      </w:pPr>
      <w:r w:rsidRPr="00DC031B">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5F7666" w:rsidRPr="00DC031B" w:rsidRDefault="005F7666" w:rsidP="005F7666">
      <w:pPr>
        <w:pStyle w:val="Bezodstpw"/>
        <w:spacing w:line="276" w:lineRule="auto"/>
        <w:jc w:val="both"/>
        <w:rPr>
          <w:sz w:val="24"/>
          <w:szCs w:val="24"/>
        </w:rPr>
      </w:pPr>
      <w:r w:rsidRPr="00DC031B">
        <w:rPr>
          <w:sz w:val="24"/>
          <w:szCs w:val="24"/>
        </w:rPr>
        <w:t xml:space="preserve">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733BC1" w:rsidRDefault="00733BC1" w:rsidP="00733BC1">
      <w:pPr>
        <w:pStyle w:val="Bezodstpw"/>
        <w:spacing w:line="276" w:lineRule="auto"/>
        <w:jc w:val="both"/>
        <w:rPr>
          <w:sz w:val="24"/>
          <w:szCs w:val="24"/>
        </w:rPr>
      </w:pPr>
    </w:p>
    <w:p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rsidR="0058507B" w:rsidRPr="00733BC1" w:rsidRDefault="0058507B" w:rsidP="00733BC1">
      <w:pPr>
        <w:pStyle w:val="Bezodstpw"/>
        <w:spacing w:line="276" w:lineRule="auto"/>
        <w:jc w:val="both"/>
        <w:rPr>
          <w:sz w:val="24"/>
          <w:szCs w:val="24"/>
        </w:rPr>
      </w:pPr>
    </w:p>
    <w:p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rsidR="00B11B07" w:rsidRPr="00D81DC1" w:rsidRDefault="00B11B07" w:rsidP="00A627F8">
      <w:pPr>
        <w:autoSpaceDE w:val="0"/>
        <w:autoSpaceDN w:val="0"/>
        <w:adjustRightInd w:val="0"/>
        <w:spacing w:after="0"/>
        <w:jc w:val="both"/>
        <w:rPr>
          <w:sz w:val="24"/>
          <w:szCs w:val="24"/>
        </w:rPr>
      </w:pPr>
      <w:r w:rsidRPr="00D81DC1">
        <w:rPr>
          <w:sz w:val="24"/>
          <w:szCs w:val="24"/>
        </w:rPr>
        <w:t>Generalnie rzecz biorąc, wybór wariantów do analizy może dotyczyć:</w:t>
      </w:r>
    </w:p>
    <w:p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lastRenderedPageBreak/>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rsidR="009421A9" w:rsidRDefault="009421A9" w:rsidP="007234E0">
      <w:pPr>
        <w:pStyle w:val="Bezodstpw"/>
        <w:rPr>
          <w:lang w:eastAsia="pl-PL"/>
        </w:rPr>
      </w:pPr>
    </w:p>
    <w:p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1"/>
      </w:r>
      <w:r w:rsidR="00927C90">
        <w:rPr>
          <w:rFonts w:cs="ArialNarrow"/>
          <w:sz w:val="24"/>
          <w:szCs w:val="24"/>
          <w:lang w:eastAsia="pl-PL"/>
        </w:rPr>
        <w:t>:</w:t>
      </w:r>
      <w:r w:rsidR="00891C1F" w:rsidRPr="00A627F8">
        <w:rPr>
          <w:sz w:val="24"/>
          <w:szCs w:val="24"/>
        </w:rPr>
        <w:t xml:space="preserve"> </w:t>
      </w:r>
    </w:p>
    <w:p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rsidR="00927C90" w:rsidRPr="009421A9" w:rsidRDefault="009421A9" w:rsidP="00A26561">
      <w:pPr>
        <w:pStyle w:val="Bezodstpw"/>
        <w:spacing w:line="276" w:lineRule="auto"/>
        <w:jc w:val="both"/>
        <w:rPr>
          <w:sz w:val="24"/>
          <w:szCs w:val="24"/>
        </w:rPr>
      </w:pPr>
      <w:r>
        <w:rPr>
          <w:sz w:val="24"/>
          <w:szCs w:val="24"/>
        </w:rPr>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2"/>
      </w:r>
      <w:r>
        <w:rPr>
          <w:sz w:val="24"/>
          <w:szCs w:val="24"/>
        </w:rPr>
        <w:t>.</w:t>
      </w:r>
    </w:p>
    <w:p w:rsidR="00B23530" w:rsidRDefault="00B23530" w:rsidP="00A26561">
      <w:pPr>
        <w:autoSpaceDE w:val="0"/>
        <w:autoSpaceDN w:val="0"/>
        <w:adjustRightInd w:val="0"/>
        <w:spacing w:after="0"/>
        <w:jc w:val="both"/>
        <w:rPr>
          <w:rFonts w:cs="ArialNarrow"/>
          <w:b/>
          <w:sz w:val="24"/>
          <w:szCs w:val="24"/>
          <w:lang w:eastAsia="pl-PL"/>
        </w:rPr>
      </w:pPr>
    </w:p>
    <w:p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rsidR="00B23530" w:rsidRDefault="00B23530" w:rsidP="007234E0">
      <w:pPr>
        <w:autoSpaceDE w:val="0"/>
        <w:autoSpaceDN w:val="0"/>
        <w:adjustRightInd w:val="0"/>
        <w:spacing w:after="0"/>
        <w:jc w:val="both"/>
        <w:rPr>
          <w:rFonts w:cs="ArialNarrow"/>
          <w:sz w:val="24"/>
          <w:szCs w:val="24"/>
          <w:lang w:eastAsia="pl-PL"/>
        </w:rPr>
      </w:pPr>
    </w:p>
    <w:p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rsidR="00D23D73" w:rsidRPr="007678D4" w:rsidRDefault="00D23D73" w:rsidP="00D23D73">
      <w:pPr>
        <w:autoSpaceDE w:val="0"/>
        <w:autoSpaceDN w:val="0"/>
        <w:adjustRightInd w:val="0"/>
        <w:spacing w:after="0"/>
        <w:jc w:val="both"/>
        <w:rPr>
          <w:bCs/>
          <w:sz w:val="24"/>
          <w:szCs w:val="24"/>
        </w:rPr>
      </w:pPr>
      <w:r w:rsidRPr="00D23D73">
        <w:rPr>
          <w:bCs/>
          <w:sz w:val="24"/>
          <w:szCs w:val="24"/>
        </w:rPr>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lastRenderedPageBreak/>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rsidR="000251C6" w:rsidRDefault="000251C6" w:rsidP="000251C6">
      <w:pPr>
        <w:pStyle w:val="Bezodstpw"/>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B23530" w:rsidRDefault="00B23530" w:rsidP="006A3667">
      <w:pPr>
        <w:autoSpaceDE w:val="0"/>
        <w:autoSpaceDN w:val="0"/>
        <w:adjustRightInd w:val="0"/>
        <w:spacing w:after="0"/>
        <w:jc w:val="both"/>
        <w:rPr>
          <w:bCs/>
          <w:sz w:val="24"/>
          <w:szCs w:val="24"/>
        </w:rPr>
      </w:pPr>
    </w:p>
    <w:p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50702F"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r w:rsidR="00B23E7E">
              <w:rPr>
                <w:sz w:val="20"/>
                <w:szCs w:val="20"/>
              </w:rPr>
              <w:t xml:space="preserve">zmniejszenie </w:t>
            </w:r>
            <w:r w:rsidR="0050702F" w:rsidRPr="0050702F">
              <w:rPr>
                <w:sz w:val="20"/>
                <w:szCs w:val="20"/>
              </w:rPr>
              <w:t xml:space="preserve"> emisji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r w:rsidR="00B23E7E">
              <w:rPr>
                <w:sz w:val="20"/>
                <w:szCs w:val="20"/>
              </w:rPr>
              <w:t xml:space="preserve">zmniejszenie </w:t>
            </w:r>
            <w:r w:rsidR="00B23E7E" w:rsidRPr="0050702F">
              <w:rPr>
                <w:sz w:val="20"/>
                <w:szCs w:val="20"/>
              </w:rPr>
              <w:t xml:space="preserve"> emisji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rsidR="00D36B81" w:rsidRDefault="00D36B81" w:rsidP="001530B7">
      <w:pPr>
        <w:autoSpaceDE w:val="0"/>
        <w:autoSpaceDN w:val="0"/>
        <w:adjustRightInd w:val="0"/>
        <w:spacing w:after="0"/>
        <w:jc w:val="both"/>
        <w:rPr>
          <w:color w:val="FF0000"/>
          <w:sz w:val="24"/>
          <w:szCs w:val="24"/>
        </w:rPr>
      </w:pPr>
    </w:p>
    <w:p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Zastosowana skala: 0 - brak wpływu 1 - niewielki wpływ 2 - umiarkowany wpływ 3 - istotny wpływ 4 -  bardzo duży wpływ</w:t>
      </w:r>
      <w:r w:rsidR="00E25F3D">
        <w:rPr>
          <w:sz w:val="20"/>
          <w:szCs w:val="20"/>
        </w:rPr>
        <w:t>.</w:t>
      </w:r>
    </w:p>
    <w:p w:rsidR="00E25F3D" w:rsidRPr="0050702F" w:rsidRDefault="00E25F3D" w:rsidP="00D36B81">
      <w:pPr>
        <w:autoSpaceDE w:val="0"/>
        <w:autoSpaceDN w:val="0"/>
        <w:adjustRightInd w:val="0"/>
        <w:spacing w:after="0"/>
        <w:jc w:val="both"/>
        <w:rPr>
          <w:sz w:val="20"/>
          <w:szCs w:val="20"/>
        </w:rPr>
      </w:pPr>
    </w:p>
    <w:p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rsidR="000251C6" w:rsidRPr="000251C6" w:rsidRDefault="000251C6" w:rsidP="000251C6">
      <w:pPr>
        <w:pStyle w:val="Bezodstpw"/>
      </w:pPr>
    </w:p>
    <w:p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rsidR="00D36B81" w:rsidRPr="00B4104E" w:rsidRDefault="00D36B81" w:rsidP="001530B7">
      <w:pPr>
        <w:autoSpaceDE w:val="0"/>
        <w:autoSpaceDN w:val="0"/>
        <w:adjustRightInd w:val="0"/>
        <w:spacing w:after="0"/>
        <w:jc w:val="both"/>
        <w:rPr>
          <w:color w:val="FF0000"/>
          <w:sz w:val="24"/>
          <w:szCs w:val="24"/>
        </w:rPr>
      </w:pPr>
    </w:p>
    <w:p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sankcji,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Default="00E0442B" w:rsidP="00E0442B">
      <w:pPr>
        <w:autoSpaceDE w:val="0"/>
        <w:autoSpaceDN w:val="0"/>
        <w:adjustRightInd w:val="0"/>
        <w:spacing w:after="0"/>
        <w:jc w:val="both"/>
        <w:rPr>
          <w:sz w:val="24"/>
          <w:szCs w:val="24"/>
        </w:rPr>
      </w:pPr>
      <w:r w:rsidRPr="00E0442B">
        <w:rPr>
          <w:sz w:val="24"/>
          <w:szCs w:val="24"/>
        </w:rPr>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rsidR="000D221D" w:rsidRDefault="000D221D" w:rsidP="00E0442B">
      <w:pPr>
        <w:autoSpaceDE w:val="0"/>
        <w:autoSpaceDN w:val="0"/>
        <w:adjustRightInd w:val="0"/>
        <w:spacing w:after="0"/>
        <w:jc w:val="both"/>
        <w:rPr>
          <w:sz w:val="24"/>
          <w:szCs w:val="24"/>
        </w:rPr>
      </w:pPr>
    </w:p>
    <w:p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rsidR="003E4A13" w:rsidRPr="003E4A13" w:rsidRDefault="00665A82" w:rsidP="003E4A13">
      <w:pPr>
        <w:autoSpaceDE w:val="0"/>
        <w:autoSpaceDN w:val="0"/>
        <w:adjustRightInd w:val="0"/>
        <w:spacing w:after="0"/>
        <w:jc w:val="both"/>
        <w:rPr>
          <w:sz w:val="24"/>
          <w:szCs w:val="24"/>
        </w:rPr>
      </w:pPr>
      <w:r>
        <w:rPr>
          <w:sz w:val="24"/>
          <w:szCs w:val="24"/>
        </w:rPr>
        <w:t xml:space="preserve">a)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3"/>
      </w:r>
      <w:r w:rsidR="003E4A13" w:rsidRPr="003E4A13">
        <w:rPr>
          <w:sz w:val="24"/>
          <w:szCs w:val="24"/>
        </w:rPr>
        <w:t xml:space="preserve"> na jednostkę wytworzonego produktu; </w:t>
      </w:r>
    </w:p>
    <w:p w:rsidR="003E4A13" w:rsidRDefault="00665A82" w:rsidP="003E4A13">
      <w:pPr>
        <w:autoSpaceDE w:val="0"/>
        <w:autoSpaceDN w:val="0"/>
        <w:adjustRightInd w:val="0"/>
        <w:spacing w:after="0"/>
        <w:jc w:val="both"/>
        <w:rPr>
          <w:sz w:val="24"/>
          <w:szCs w:val="24"/>
        </w:rPr>
      </w:pPr>
      <w:r>
        <w:rPr>
          <w:sz w:val="24"/>
          <w:szCs w:val="24"/>
        </w:rPr>
        <w:lastRenderedPageBreak/>
        <w:t xml:space="preserve">b) </w:t>
      </w:r>
      <w:r w:rsidR="003E4A13" w:rsidRPr="003E4A13">
        <w:rPr>
          <w:sz w:val="24"/>
          <w:szCs w:val="24"/>
        </w:rPr>
        <w:t xml:space="preserve">w przypadku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rsidR="00E96C74" w:rsidRDefault="00E96C74" w:rsidP="00E96C74">
      <w:pPr>
        <w:autoSpaceDE w:val="0"/>
        <w:autoSpaceDN w:val="0"/>
        <w:adjustRightInd w:val="0"/>
        <w:spacing w:after="0"/>
        <w:jc w:val="both"/>
        <w:rPr>
          <w:sz w:val="24"/>
          <w:szCs w:val="24"/>
        </w:rPr>
      </w:pPr>
    </w:p>
    <w:p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rsidR="00E0442B" w:rsidRPr="000802E2" w:rsidRDefault="00E96C74" w:rsidP="00E96C74">
      <w:pPr>
        <w:autoSpaceDE w:val="0"/>
        <w:autoSpaceDN w:val="0"/>
        <w:adjustRightInd w:val="0"/>
        <w:spacing w:after="0"/>
        <w:jc w:val="both"/>
        <w:rPr>
          <w:b/>
          <w:sz w:val="24"/>
          <w:szCs w:val="24"/>
        </w:rPr>
      </w:pPr>
      <w:r w:rsidRPr="000802E2">
        <w:rPr>
          <w:b/>
          <w:sz w:val="24"/>
          <w:szCs w:val="24"/>
        </w:rPr>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4"/>
      </w:r>
      <w:r w:rsidRPr="000802E2">
        <w:rPr>
          <w:b/>
          <w:sz w:val="24"/>
          <w:szCs w:val="24"/>
        </w:rPr>
        <w:t>.</w:t>
      </w:r>
    </w:p>
    <w:p w:rsidR="00FD66CF" w:rsidRDefault="00FD66CF" w:rsidP="00FD66CF">
      <w:pPr>
        <w:autoSpaceDE w:val="0"/>
        <w:autoSpaceDN w:val="0"/>
        <w:adjustRightInd w:val="0"/>
        <w:spacing w:after="0"/>
        <w:jc w:val="both"/>
        <w:rPr>
          <w:b/>
          <w:bCs/>
          <w:sz w:val="24"/>
          <w:szCs w:val="24"/>
        </w:rPr>
      </w:pPr>
    </w:p>
    <w:p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oceny projektów, którą stosuje się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lastRenderedPageBreak/>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rsidR="00333700" w:rsidRDefault="00333700" w:rsidP="00333700">
      <w:pPr>
        <w:autoSpaceDE w:val="0"/>
        <w:autoSpaceDN w:val="0"/>
        <w:adjustRightInd w:val="0"/>
        <w:spacing w:after="0"/>
        <w:jc w:val="center"/>
        <w:rPr>
          <w:b/>
          <w:bCs/>
          <w:sz w:val="24"/>
          <w:szCs w:val="24"/>
        </w:rPr>
      </w:pPr>
    </w:p>
    <w:p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rsidR="00333700" w:rsidRDefault="00333700" w:rsidP="00333700">
      <w:pPr>
        <w:autoSpaceDE w:val="0"/>
        <w:autoSpaceDN w:val="0"/>
        <w:adjustRightInd w:val="0"/>
        <w:spacing w:after="0"/>
        <w:jc w:val="center"/>
        <w:rPr>
          <w:b/>
          <w:bCs/>
          <w:sz w:val="24"/>
          <w:szCs w:val="24"/>
        </w:rPr>
      </w:pPr>
    </w:p>
    <w:p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rsidR="00333700" w:rsidRDefault="00333700" w:rsidP="00911E45">
      <w:pPr>
        <w:autoSpaceDE w:val="0"/>
        <w:autoSpaceDN w:val="0"/>
        <w:adjustRightInd w:val="0"/>
        <w:spacing w:after="0"/>
        <w:jc w:val="both"/>
        <w:rPr>
          <w:sz w:val="24"/>
          <w:szCs w:val="24"/>
        </w:rPr>
      </w:pPr>
    </w:p>
    <w:p w:rsidR="00333700"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1858010" cy="846455"/>
            <wp:effectExtent l="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8010" cy="846455"/>
                    </a:xfrm>
                    <a:prstGeom prst="rect">
                      <a:avLst/>
                    </a:prstGeom>
                    <a:noFill/>
                    <a:ln>
                      <a:noFill/>
                    </a:ln>
                  </pic:spPr>
                </pic:pic>
              </a:graphicData>
            </a:graphic>
          </wp:inline>
        </w:drawing>
      </w:r>
    </w:p>
    <w:p w:rsidR="00911E45" w:rsidRDefault="00911E45" w:rsidP="00911E45">
      <w:pPr>
        <w:autoSpaceDE w:val="0"/>
        <w:autoSpaceDN w:val="0"/>
        <w:adjustRightInd w:val="0"/>
        <w:spacing w:after="0"/>
        <w:jc w:val="both"/>
        <w:rPr>
          <w:sz w:val="24"/>
          <w:szCs w:val="24"/>
        </w:rPr>
      </w:pPr>
    </w:p>
    <w:p w:rsidR="006D31AF" w:rsidRPr="00333700" w:rsidRDefault="006D31AF" w:rsidP="00333700">
      <w:pPr>
        <w:numPr>
          <w:ilvl w:val="0"/>
          <w:numId w:val="29"/>
        </w:numPr>
        <w:autoSpaceDE w:val="0"/>
        <w:autoSpaceDN w:val="0"/>
        <w:adjustRightInd w:val="0"/>
        <w:spacing w:after="0"/>
        <w:jc w:val="both"/>
        <w:rPr>
          <w:sz w:val="24"/>
          <w:szCs w:val="24"/>
        </w:rPr>
      </w:pPr>
      <w:proofErr w:type="spellStart"/>
      <w:r w:rsidRPr="00333700">
        <w:rPr>
          <w:b/>
          <w:bCs/>
          <w:sz w:val="24"/>
          <w:szCs w:val="24"/>
        </w:rPr>
        <w:t>KI</w:t>
      </w:r>
      <w:r w:rsidRPr="00333700">
        <w:rPr>
          <w:sz w:val="24"/>
          <w:szCs w:val="24"/>
        </w:rPr>
        <w:t>t</w:t>
      </w:r>
      <w:proofErr w:type="spellEnd"/>
      <w:r w:rsidRPr="00333700">
        <w:rPr>
          <w:sz w:val="24"/>
          <w:szCs w:val="24"/>
        </w:rPr>
        <w:t xml:space="preserve">   – koszty inwestycyjne poniesione w danym roku;</w:t>
      </w:r>
      <w:r w:rsidRPr="00333700">
        <w:rPr>
          <w:b/>
          <w:bCs/>
          <w:sz w:val="24"/>
          <w:szCs w:val="24"/>
        </w:rPr>
        <w:t xml:space="preserve"> </w:t>
      </w:r>
    </w:p>
    <w:p w:rsidR="006D31AF" w:rsidRPr="00333700" w:rsidRDefault="006D31AF" w:rsidP="00333700">
      <w:pPr>
        <w:numPr>
          <w:ilvl w:val="0"/>
          <w:numId w:val="29"/>
        </w:numPr>
        <w:autoSpaceDE w:val="0"/>
        <w:autoSpaceDN w:val="0"/>
        <w:adjustRightInd w:val="0"/>
        <w:spacing w:after="0"/>
        <w:jc w:val="both"/>
        <w:rPr>
          <w:sz w:val="24"/>
          <w:szCs w:val="24"/>
        </w:rPr>
      </w:pPr>
      <w:proofErr w:type="spellStart"/>
      <w:r w:rsidRPr="00333700">
        <w:rPr>
          <w:b/>
          <w:bCs/>
          <w:sz w:val="24"/>
          <w:szCs w:val="24"/>
        </w:rPr>
        <w:t>KEt</w:t>
      </w:r>
      <w:proofErr w:type="spellEnd"/>
      <w:r w:rsidRPr="00333700">
        <w:rPr>
          <w:sz w:val="24"/>
          <w:szCs w:val="24"/>
        </w:rPr>
        <w:t xml:space="preserve"> – koszty eksploatacyjne poniesione w danym roku;</w:t>
      </w:r>
      <w:r w:rsidRPr="00333700">
        <w:rPr>
          <w:b/>
          <w:bCs/>
          <w:sz w:val="24"/>
          <w:szCs w:val="24"/>
        </w:rPr>
        <w:t xml:space="preserve"> </w:t>
      </w:r>
    </w:p>
    <w:p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rsidR="00DF0D72" w:rsidRDefault="00DF0D72" w:rsidP="00DF0D72">
      <w:pPr>
        <w:autoSpaceDE w:val="0"/>
        <w:autoSpaceDN w:val="0"/>
        <w:adjustRightInd w:val="0"/>
        <w:spacing w:after="0"/>
        <w:jc w:val="both"/>
        <w:rPr>
          <w:sz w:val="24"/>
          <w:szCs w:val="24"/>
        </w:rPr>
      </w:pPr>
    </w:p>
    <w:p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w:t>
      </w:r>
      <w:proofErr w:type="spellStart"/>
      <w:r w:rsidRPr="00911E45">
        <w:rPr>
          <w:i/>
          <w:sz w:val="24"/>
          <w:szCs w:val="24"/>
        </w:rPr>
        <w:t>KI</w:t>
      </w:r>
      <w:r w:rsidRPr="00911E45">
        <w:rPr>
          <w:i/>
          <w:sz w:val="24"/>
          <w:szCs w:val="24"/>
          <w:vertAlign w:val="subscript"/>
        </w:rPr>
        <w:t>t</w:t>
      </w:r>
      <w:proofErr w:type="spellEnd"/>
      <w:r w:rsidRPr="00911E45">
        <w:rPr>
          <w:i/>
          <w:sz w:val="24"/>
          <w:szCs w:val="24"/>
        </w:rPr>
        <w:t>)</w:t>
      </w:r>
      <w:r w:rsidRPr="00911E45">
        <w:rPr>
          <w:sz w:val="24"/>
          <w:szCs w:val="24"/>
        </w:rPr>
        <w:t xml:space="preserve">, kosztów eksploatacyjnych </w:t>
      </w:r>
      <w:r w:rsidRPr="00911E45">
        <w:rPr>
          <w:i/>
          <w:sz w:val="24"/>
          <w:szCs w:val="24"/>
        </w:rPr>
        <w:t>(</w:t>
      </w:r>
      <w:proofErr w:type="spellStart"/>
      <w:r w:rsidRPr="00911E45">
        <w:rPr>
          <w:i/>
          <w:sz w:val="24"/>
          <w:szCs w:val="24"/>
        </w:rPr>
        <w:t>KE</w:t>
      </w:r>
      <w:r w:rsidRPr="00911E45">
        <w:rPr>
          <w:i/>
          <w:sz w:val="24"/>
          <w:szCs w:val="24"/>
          <w:vertAlign w:val="subscript"/>
        </w:rPr>
        <w:t>t</w:t>
      </w:r>
      <w:proofErr w:type="spellEnd"/>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w:t>
      </w:r>
      <w:proofErr w:type="spellStart"/>
      <w:r w:rsidRPr="00911E45">
        <w:rPr>
          <w:i/>
          <w:sz w:val="24"/>
          <w:szCs w:val="24"/>
        </w:rPr>
        <w:t>EE</w:t>
      </w:r>
      <w:r w:rsidRPr="00911E45">
        <w:rPr>
          <w:i/>
          <w:sz w:val="24"/>
          <w:szCs w:val="24"/>
          <w:vertAlign w:val="subscript"/>
        </w:rPr>
        <w:t>t</w:t>
      </w:r>
      <w:proofErr w:type="spellEnd"/>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rsidR="00333700" w:rsidRDefault="00333700" w:rsidP="00911E45">
      <w:pPr>
        <w:autoSpaceDE w:val="0"/>
        <w:autoSpaceDN w:val="0"/>
        <w:adjustRightInd w:val="0"/>
        <w:spacing w:after="0"/>
        <w:jc w:val="both"/>
        <w:rPr>
          <w:sz w:val="24"/>
          <w:szCs w:val="24"/>
        </w:rPr>
      </w:pPr>
    </w:p>
    <w:p w:rsidR="00333700" w:rsidRDefault="00333700" w:rsidP="00911E45">
      <w:pPr>
        <w:autoSpaceDE w:val="0"/>
        <w:autoSpaceDN w:val="0"/>
        <w:adjustRightInd w:val="0"/>
        <w:spacing w:after="0"/>
        <w:jc w:val="both"/>
        <w:rPr>
          <w:sz w:val="24"/>
          <w:szCs w:val="24"/>
        </w:rPr>
      </w:pPr>
      <w:r w:rsidRPr="00333700">
        <w:rPr>
          <w:b/>
          <w:bCs/>
          <w:sz w:val="24"/>
          <w:szCs w:val="24"/>
        </w:rPr>
        <w:t>Ustalenie zdyskontowanych przychodów (ZP)</w:t>
      </w:r>
      <w:r>
        <w:rPr>
          <w:sz w:val="24"/>
          <w:szCs w:val="24"/>
        </w:rPr>
        <w:t>:</w:t>
      </w:r>
    </w:p>
    <w:p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rsidR="00333700" w:rsidRDefault="00333700" w:rsidP="00911E45">
      <w:pPr>
        <w:autoSpaceDE w:val="0"/>
        <w:autoSpaceDN w:val="0"/>
        <w:adjustRightInd w:val="0"/>
        <w:spacing w:after="0"/>
        <w:jc w:val="both"/>
        <w:rPr>
          <w:sz w:val="24"/>
          <w:szCs w:val="24"/>
        </w:rPr>
      </w:pPr>
    </w:p>
    <w:p w:rsidR="00333700"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1964690" cy="720090"/>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4690" cy="720090"/>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aby przedsięwzięcie było rentowne  jest to, żeby zdyskontowany strumień przychodów był większy lub równy zdyskontowanemu strumieniowi kosztów. Tak więc ustalamy, jaka cena pozwala na spełnienie równania.</w:t>
      </w:r>
    </w:p>
    <w:p w:rsidR="00917451"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4124325" cy="934085"/>
            <wp:effectExtent l="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934085"/>
                    </a:xfrm>
                    <a:prstGeom prst="rect">
                      <a:avLst/>
                    </a:prstGeom>
                    <a:noFill/>
                    <a:ln>
                      <a:noFill/>
                    </a:ln>
                  </pic:spPr>
                </pic:pic>
              </a:graphicData>
            </a:graphic>
          </wp:inline>
        </w:drawing>
      </w:r>
    </w:p>
    <w:p w:rsidR="00917451" w:rsidRDefault="00917451" w:rsidP="00911E45">
      <w:pPr>
        <w:autoSpaceDE w:val="0"/>
        <w:autoSpaceDN w:val="0"/>
        <w:adjustRightInd w:val="0"/>
        <w:spacing w:after="0"/>
        <w:jc w:val="both"/>
        <w:rPr>
          <w:sz w:val="24"/>
          <w:szCs w:val="24"/>
        </w:rPr>
      </w:pPr>
    </w:p>
    <w:p w:rsidR="00917451" w:rsidRPr="00917451" w:rsidRDefault="00917451" w:rsidP="00911E45">
      <w:pPr>
        <w:autoSpaceDE w:val="0"/>
        <w:autoSpaceDN w:val="0"/>
        <w:adjustRightInd w:val="0"/>
        <w:spacing w:after="0"/>
        <w:jc w:val="both"/>
        <w:rPr>
          <w:b/>
          <w:sz w:val="24"/>
          <w:szCs w:val="24"/>
        </w:rPr>
      </w:pPr>
      <w:r w:rsidRPr="00917451">
        <w:rPr>
          <w:b/>
          <w:sz w:val="24"/>
          <w:szCs w:val="24"/>
        </w:rPr>
        <w:lastRenderedPageBreak/>
        <w:t>Po przekształceniu uzyskujemy definicję dynamicznego kosztu jednostkowego:</w:t>
      </w:r>
    </w:p>
    <w:p w:rsidR="00917451" w:rsidRDefault="00917451" w:rsidP="00911E45">
      <w:pPr>
        <w:autoSpaceDE w:val="0"/>
        <w:autoSpaceDN w:val="0"/>
        <w:adjustRightInd w:val="0"/>
        <w:spacing w:after="0"/>
        <w:jc w:val="both"/>
        <w:rPr>
          <w:sz w:val="24"/>
          <w:szCs w:val="24"/>
        </w:rPr>
      </w:pPr>
    </w:p>
    <w:p w:rsidR="00917451" w:rsidRDefault="00557320" w:rsidP="00911E45">
      <w:pPr>
        <w:autoSpaceDE w:val="0"/>
        <w:autoSpaceDN w:val="0"/>
        <w:adjustRightInd w:val="0"/>
        <w:spacing w:after="0"/>
        <w:jc w:val="both"/>
        <w:rPr>
          <w:sz w:val="24"/>
          <w:szCs w:val="24"/>
        </w:rPr>
      </w:pPr>
      <w:r>
        <w:rPr>
          <w:noProof/>
          <w:sz w:val="24"/>
          <w:szCs w:val="24"/>
          <w:lang w:eastAsia="pl-PL"/>
        </w:rPr>
        <w:drawing>
          <wp:inline distT="0" distB="0" distL="0" distR="0">
            <wp:extent cx="3774440" cy="117729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4440" cy="1177290"/>
                    </a:xfrm>
                    <a:prstGeom prst="rect">
                      <a:avLst/>
                    </a:prstGeom>
                    <a:noFill/>
                    <a:ln>
                      <a:noFill/>
                    </a:ln>
                  </pic:spPr>
                </pic:pic>
              </a:graphicData>
            </a:graphic>
          </wp:inline>
        </w:drawing>
      </w:r>
    </w:p>
    <w:p w:rsidR="009B3F56" w:rsidRDefault="009B3F56" w:rsidP="00911E45">
      <w:pPr>
        <w:autoSpaceDE w:val="0"/>
        <w:autoSpaceDN w:val="0"/>
        <w:adjustRightInd w:val="0"/>
        <w:spacing w:after="0"/>
        <w:jc w:val="both"/>
        <w:rPr>
          <w:sz w:val="24"/>
          <w:szCs w:val="24"/>
        </w:rPr>
      </w:pPr>
    </w:p>
    <w:p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rsidR="00ED7579" w:rsidRPr="00ED7579" w:rsidRDefault="00ED7579" w:rsidP="00ED7579">
      <w:pPr>
        <w:autoSpaceDE w:val="0"/>
        <w:autoSpaceDN w:val="0"/>
        <w:adjustRightInd w:val="0"/>
        <w:spacing w:after="0"/>
        <w:jc w:val="both"/>
        <w:rPr>
          <w:sz w:val="24"/>
          <w:szCs w:val="24"/>
        </w:rPr>
      </w:pPr>
      <w:r w:rsidRPr="00ED7579">
        <w:rPr>
          <w:sz w:val="24"/>
          <w:szCs w:val="24"/>
        </w:rPr>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rsidR="00917451" w:rsidRDefault="00ED7579" w:rsidP="00ED7579">
      <w:pPr>
        <w:autoSpaceDE w:val="0"/>
        <w:autoSpaceDN w:val="0"/>
        <w:adjustRightInd w:val="0"/>
        <w:spacing w:after="0"/>
        <w:jc w:val="both"/>
        <w:rPr>
          <w:sz w:val="24"/>
          <w:szCs w:val="24"/>
        </w:rPr>
      </w:pPr>
      <w:r w:rsidRPr="00ED7579">
        <w:rPr>
          <w:sz w:val="24"/>
          <w:szCs w:val="24"/>
        </w:rPr>
        <w:t>Alternatywnie można dobrać inne wskaźniki rezultatu dla zastosowania którego zostanie prze</w:t>
      </w:r>
      <w:r w:rsidR="009D6B96">
        <w:rPr>
          <w:sz w:val="24"/>
          <w:szCs w:val="24"/>
        </w:rPr>
        <w:t>d</w:t>
      </w:r>
      <w:r w:rsidRPr="00ED7579">
        <w:rPr>
          <w:sz w:val="24"/>
          <w:szCs w:val="24"/>
        </w:rPr>
        <w:t>stawione odpowiednie uzasadnienie.</w:t>
      </w:r>
    </w:p>
    <w:p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rsidR="00E755BA" w:rsidRPr="004B30BA" w:rsidRDefault="00E755BA" w:rsidP="00264D87">
      <w:pPr>
        <w:pStyle w:val="Default"/>
        <w:spacing w:line="276" w:lineRule="auto"/>
        <w:jc w:val="both"/>
        <w:rPr>
          <w:rFonts w:ascii="Calibri" w:hAnsi="Calibri"/>
          <w:b/>
          <w:sz w:val="16"/>
          <w:szCs w:val="16"/>
        </w:rPr>
      </w:pPr>
    </w:p>
    <w:p w:rsidR="00264D87" w:rsidRDefault="00542C16" w:rsidP="00264D87">
      <w:pPr>
        <w:pStyle w:val="Default"/>
        <w:spacing w:line="276" w:lineRule="auto"/>
        <w:jc w:val="both"/>
        <w:rPr>
          <w:rFonts w:ascii="Calibri" w:hAnsi="Calibri"/>
          <w:b/>
        </w:rPr>
      </w:pPr>
      <w:r>
        <w:rPr>
          <w:rFonts w:ascii="Calibri" w:hAnsi="Calibri"/>
          <w:b/>
        </w:rPr>
        <w:t>Interpretacja wskaźnika DGC.</w:t>
      </w:r>
    </w:p>
    <w:p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rsidR="005F7666" w:rsidRPr="004B30BA" w:rsidRDefault="005F7666" w:rsidP="005F7666">
      <w:pPr>
        <w:pStyle w:val="Default"/>
        <w:spacing w:line="276" w:lineRule="auto"/>
        <w:jc w:val="both"/>
        <w:rPr>
          <w:rFonts w:ascii="Calibri" w:hAnsi="Calibri"/>
          <w:b/>
          <w:sz w:val="16"/>
          <w:szCs w:val="16"/>
        </w:rPr>
      </w:pPr>
    </w:p>
    <w:p w:rsidR="005F7666" w:rsidRPr="005F7666" w:rsidRDefault="005F7666" w:rsidP="005F7666">
      <w:pPr>
        <w:pStyle w:val="Default"/>
        <w:spacing w:line="276" w:lineRule="auto"/>
        <w:jc w:val="both"/>
        <w:rPr>
          <w:rFonts w:ascii="Calibri" w:hAnsi="Calibri"/>
        </w:rPr>
      </w:pPr>
      <w:r w:rsidRPr="005F7666">
        <w:rPr>
          <w:rFonts w:ascii="Calibri" w:hAnsi="Calibri"/>
        </w:rPr>
        <w:lastRenderedPageBreak/>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rsidR="005F7666" w:rsidRPr="004B30BA" w:rsidRDefault="005F7666" w:rsidP="005F7666">
      <w:pPr>
        <w:pStyle w:val="Default"/>
        <w:spacing w:line="276" w:lineRule="auto"/>
        <w:jc w:val="both"/>
        <w:rPr>
          <w:rFonts w:ascii="Calibri" w:hAnsi="Calibri"/>
          <w:sz w:val="16"/>
          <w:szCs w:val="16"/>
        </w:rPr>
      </w:pPr>
    </w:p>
    <w:p w:rsidR="008F4C11" w:rsidRPr="004B30BA" w:rsidRDefault="005F7666" w:rsidP="00E97161">
      <w:pPr>
        <w:pStyle w:val="Default"/>
        <w:spacing w:line="276" w:lineRule="auto"/>
        <w:jc w:val="both"/>
        <w:rPr>
          <w:rFonts w:ascii="Calibri" w:hAnsi="Calibri"/>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rsidR="00164610" w:rsidRDefault="00164610" w:rsidP="00164610">
      <w:pPr>
        <w:pStyle w:val="Nagwek2"/>
        <w:numPr>
          <w:ilvl w:val="1"/>
          <w:numId w:val="4"/>
        </w:numPr>
        <w:rPr>
          <w:i w:val="0"/>
        </w:rPr>
      </w:pPr>
      <w:bookmarkStart w:id="22" w:name="_Toc514928895"/>
      <w:r>
        <w:rPr>
          <w:i w:val="0"/>
        </w:rPr>
        <w:t>Zastosowane rozwiązanie</w:t>
      </w:r>
      <w:bookmarkEnd w:id="22"/>
      <w:r>
        <w:rPr>
          <w:i w:val="0"/>
        </w:rPr>
        <w:t xml:space="preserve"> </w:t>
      </w:r>
    </w:p>
    <w:p w:rsidR="001530B7" w:rsidRPr="005C0085" w:rsidRDefault="001530B7" w:rsidP="005C0085">
      <w:pPr>
        <w:pStyle w:val="Bezodstpw"/>
      </w:pPr>
    </w:p>
    <w:p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rsidR="00E755BA" w:rsidRPr="00E755BA" w:rsidRDefault="00E755BA" w:rsidP="00E755BA">
      <w:pPr>
        <w:pStyle w:val="Bezodstpw"/>
        <w:spacing w:line="276" w:lineRule="auto"/>
        <w:jc w:val="both"/>
        <w:rPr>
          <w:sz w:val="24"/>
          <w:szCs w:val="24"/>
        </w:rPr>
      </w:pPr>
      <w:r>
        <w:rPr>
          <w:sz w:val="24"/>
          <w:szCs w:val="24"/>
        </w:rPr>
        <w:t>- w analizie AEK</w:t>
      </w:r>
      <w:r w:rsidRPr="00E755BA">
        <w:rPr>
          <w:sz w:val="24"/>
          <w:szCs w:val="24"/>
        </w:rPr>
        <w:t xml:space="preserve"> uzyskał najniższą wartość wskaźnika DGC,</w:t>
      </w:r>
    </w:p>
    <w:p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rsidR="000E303D" w:rsidRDefault="000E303D" w:rsidP="000E303D">
      <w:pPr>
        <w:pStyle w:val="Nagwek1"/>
        <w:numPr>
          <w:ilvl w:val="0"/>
          <w:numId w:val="4"/>
        </w:numPr>
      </w:pPr>
      <w:bookmarkStart w:id="23" w:name="_Toc514928896"/>
      <w:r>
        <w:t>Analiza finansowa</w:t>
      </w:r>
      <w:bookmarkEnd w:id="23"/>
    </w:p>
    <w:p w:rsidR="00534ECF" w:rsidRPr="00086A4C" w:rsidRDefault="00534ECF" w:rsidP="005C0085">
      <w:pPr>
        <w:pStyle w:val="Bezodstpw"/>
        <w:rPr>
          <w:sz w:val="16"/>
          <w:szCs w:val="16"/>
        </w:rPr>
      </w:pPr>
    </w:p>
    <w:p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rsidR="00AE0B87" w:rsidRPr="00086A4C" w:rsidRDefault="00AE0B87" w:rsidP="00AE0B87">
      <w:pPr>
        <w:pStyle w:val="Default"/>
        <w:spacing w:line="276" w:lineRule="auto"/>
        <w:jc w:val="both"/>
        <w:rPr>
          <w:rFonts w:ascii="Calibri" w:hAnsi="Calibri"/>
          <w:sz w:val="16"/>
          <w:szCs w:val="16"/>
        </w:rPr>
      </w:pPr>
    </w:p>
    <w:p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ustalenie,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lastRenderedPageBreak/>
        <w:t xml:space="preserve">ustalenie,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rsidR="00AE0B87" w:rsidRPr="00AE0B87" w:rsidRDefault="00AE0B87" w:rsidP="00AE0B87">
      <w:pPr>
        <w:pStyle w:val="Default"/>
        <w:spacing w:line="276" w:lineRule="auto"/>
        <w:jc w:val="both"/>
        <w:rPr>
          <w:rFonts w:ascii="Calibri" w:hAnsi="Calibri"/>
        </w:rPr>
      </w:pPr>
    </w:p>
    <w:p w:rsidR="007C5D58" w:rsidRDefault="00534ECF" w:rsidP="00061612">
      <w:pPr>
        <w:pStyle w:val="Default"/>
        <w:spacing w:line="276" w:lineRule="auto"/>
        <w:jc w:val="both"/>
        <w:rPr>
          <w:rFonts w:ascii="Calibri" w:hAnsi="Calibri"/>
        </w:rPr>
      </w:pPr>
      <w:r w:rsidRPr="00AE0B87">
        <w:rPr>
          <w:rFonts w:ascii="Calibri" w:hAnsi="Calibri"/>
          <w:b/>
        </w:rPr>
        <w:t>W przypadku projektów nie generujących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w:t>
      </w:r>
      <w:proofErr w:type="spellStart"/>
      <w:r w:rsidRPr="00534ECF">
        <w:rPr>
          <w:rFonts w:ascii="Calibri" w:hAnsi="Calibri"/>
        </w:rPr>
        <w:t>sie</w:t>
      </w:r>
      <w:proofErr w:type="spellEnd"/>
      <w:r w:rsidRPr="00534ECF">
        <w:rPr>
          <w:rFonts w:ascii="Calibri" w:hAnsi="Calibri"/>
        </w:rPr>
        <w:t xml:space="preserve"> </w:t>
      </w:r>
      <w:r w:rsidR="007C5D58">
        <w:rPr>
          <w:rFonts w:ascii="Calibri" w:hAnsi="Calibri"/>
        </w:rPr>
        <w:t xml:space="preserve">do prezentacji: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rsidR="00B10E31" w:rsidRDefault="00B10E31" w:rsidP="0080373F">
      <w:pPr>
        <w:pStyle w:val="Nagwek2"/>
        <w:numPr>
          <w:ilvl w:val="1"/>
          <w:numId w:val="4"/>
        </w:numPr>
        <w:rPr>
          <w:i w:val="0"/>
        </w:rPr>
      </w:pPr>
      <w:bookmarkStart w:id="24" w:name="_Toc514928897"/>
      <w:r w:rsidRPr="00B10E31">
        <w:rPr>
          <w:i w:val="0"/>
        </w:rPr>
        <w:t>Nakłady inwestycyjne</w:t>
      </w:r>
      <w:bookmarkEnd w:id="24"/>
      <w:r w:rsidRPr="00B10E31">
        <w:rPr>
          <w:i w:val="0"/>
        </w:rPr>
        <w:t xml:space="preserve"> </w:t>
      </w:r>
    </w:p>
    <w:p w:rsidR="006804C0" w:rsidRPr="005C0085" w:rsidRDefault="006804C0" w:rsidP="005C0085">
      <w:pPr>
        <w:pStyle w:val="Bezodstpw"/>
      </w:pPr>
    </w:p>
    <w:p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 xml:space="preserve">w </w:t>
      </w:r>
      <w:proofErr w:type="spellStart"/>
      <w:r w:rsidR="006F1D0F">
        <w:rPr>
          <w:sz w:val="24"/>
          <w:szCs w:val="24"/>
        </w:rPr>
        <w:t>WoD</w:t>
      </w:r>
      <w:proofErr w:type="spellEnd"/>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t>
      </w:r>
      <w:proofErr w:type="spellStart"/>
      <w:r w:rsidRPr="000D5F65">
        <w:rPr>
          <w:rFonts w:cs="Verdana"/>
          <w:color w:val="000000"/>
          <w:sz w:val="24"/>
          <w:szCs w:val="24"/>
          <w:lang w:eastAsia="pl-PL"/>
        </w:rPr>
        <w:t>WoD</w:t>
      </w:r>
      <w:proofErr w:type="spellEnd"/>
      <w:r w:rsidRPr="000D5F65">
        <w:rPr>
          <w:rFonts w:cs="Verdana"/>
          <w:color w:val="000000"/>
          <w:sz w:val="24"/>
          <w:szCs w:val="24"/>
          <w:lang w:eastAsia="pl-PL"/>
        </w:rPr>
        <w:t xml:space="preserve">  muszą być tożsame. </w:t>
      </w:r>
    </w:p>
    <w:p w:rsidR="0080373F" w:rsidRPr="00B10E31" w:rsidRDefault="0080373F" w:rsidP="00B10E31">
      <w:pPr>
        <w:pStyle w:val="Nagwek2"/>
        <w:numPr>
          <w:ilvl w:val="1"/>
          <w:numId w:val="4"/>
        </w:numPr>
        <w:rPr>
          <w:i w:val="0"/>
        </w:rPr>
      </w:pPr>
      <w:bookmarkStart w:id="25" w:name="_Toc514928898"/>
      <w:r w:rsidRPr="00B10E31">
        <w:rPr>
          <w:i w:val="0"/>
        </w:rPr>
        <w:t>Ogólna metodyka przeprowadzania analizy finansowej</w:t>
      </w:r>
      <w:bookmarkEnd w:id="25"/>
      <w:r w:rsidRPr="00B10E31">
        <w:rPr>
          <w:i w:val="0"/>
        </w:rPr>
        <w:t xml:space="preserve"> </w:t>
      </w:r>
    </w:p>
    <w:p w:rsidR="00905F67" w:rsidRPr="005C0085" w:rsidRDefault="00905F67" w:rsidP="005C0085">
      <w:pPr>
        <w:pStyle w:val="Bezodstpw"/>
      </w:pPr>
    </w:p>
    <w:p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lastRenderedPageBreak/>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rsidR="001A653F" w:rsidRDefault="001A653F" w:rsidP="001A653F">
      <w:pPr>
        <w:pStyle w:val="Default"/>
        <w:spacing w:line="276" w:lineRule="auto"/>
        <w:jc w:val="both"/>
        <w:rPr>
          <w:rFonts w:ascii="Calibri" w:hAnsi="Calibri"/>
        </w:rPr>
      </w:pPr>
    </w:p>
    <w:p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zatwierdzonych  przez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rsidR="006A340F" w:rsidRDefault="006A340F" w:rsidP="001A653F">
      <w:pPr>
        <w:pStyle w:val="Default"/>
        <w:spacing w:line="276" w:lineRule="auto"/>
        <w:jc w:val="both"/>
        <w:rPr>
          <w:rFonts w:ascii="Calibri" w:hAnsi="Calibri"/>
          <w:b/>
        </w:rPr>
      </w:pPr>
    </w:p>
    <w:p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analizy finansowej </w:t>
      </w:r>
      <w:r w:rsidRPr="001A653F">
        <w:rPr>
          <w:rFonts w:ascii="Calibri" w:hAnsi="Calibri"/>
          <w:b/>
        </w:rPr>
        <w:t xml:space="preserve">musi zawierać jawne (nie ukryte) i działające formuły przedstawiające przeprowadzone analizy i ich wyniki. </w:t>
      </w:r>
    </w:p>
    <w:p w:rsidR="00281277" w:rsidRPr="0080373F" w:rsidRDefault="00A302D2" w:rsidP="00281277">
      <w:pPr>
        <w:pStyle w:val="Nagwek2"/>
        <w:numPr>
          <w:ilvl w:val="1"/>
          <w:numId w:val="4"/>
        </w:numPr>
        <w:rPr>
          <w:i w:val="0"/>
        </w:rPr>
      </w:pPr>
      <w:bookmarkStart w:id="26" w:name="_Toc514928899"/>
      <w:r>
        <w:rPr>
          <w:i w:val="0"/>
        </w:rPr>
        <w:t>Założenia do</w:t>
      </w:r>
      <w:r w:rsidR="00281277" w:rsidRPr="0080373F">
        <w:rPr>
          <w:i w:val="0"/>
        </w:rPr>
        <w:t xml:space="preserve"> analizy finansowej</w:t>
      </w:r>
      <w:bookmarkEnd w:id="26"/>
      <w:r w:rsidR="00281277" w:rsidRPr="0080373F">
        <w:rPr>
          <w:i w:val="0"/>
        </w:rPr>
        <w:t xml:space="preserve"> </w:t>
      </w:r>
    </w:p>
    <w:p w:rsidR="007C4A0E" w:rsidRDefault="007C4A0E" w:rsidP="005C0085">
      <w:pPr>
        <w:pStyle w:val="Bezodstpw"/>
      </w:pPr>
    </w:p>
    <w:p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brutto (wraz z podatkiem VAT), gdy podatek VAT stanowi wydatek kwalifikowalny (ponieważ nie może zostać odzyskany w oparciu o przepisy krajowe) oraz gdy jest on niekwalifikowalny, ale stanowi rzeczywisty </w:t>
      </w:r>
      <w:proofErr w:type="spellStart"/>
      <w:r w:rsidR="007C4A0E" w:rsidRPr="009356A8">
        <w:rPr>
          <w:rFonts w:ascii="Calibri" w:hAnsi="Calibri"/>
        </w:rPr>
        <w:t>nieodzyskiwalny</w:t>
      </w:r>
      <w:proofErr w:type="spellEnd"/>
      <w:r w:rsidR="007C4A0E" w:rsidRPr="009356A8">
        <w:rPr>
          <w:rFonts w:ascii="Calibri" w:hAnsi="Calibri"/>
        </w:rPr>
        <w:t xml:space="preserve">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lastRenderedPageBreak/>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wskaźnik inflacji, na podstawie danych z Wytycznych Ministra Finansów</w:t>
      </w:r>
      <w:r w:rsidR="009356A8" w:rsidRPr="009356A8">
        <w:rPr>
          <w:rStyle w:val="Odwoanieprzypisudolnego"/>
          <w:rFonts w:ascii="Calibri" w:hAnsi="Calibri"/>
        </w:rPr>
        <w:footnoteReference w:id="15"/>
      </w:r>
      <w:r w:rsidRPr="009356A8">
        <w:rPr>
          <w:rFonts w:ascii="Calibri" w:hAnsi="Calibri"/>
        </w:rPr>
        <w:t xml:space="preserve">, zgodnie z którymi wskaźnik inflacji w okresie 2025-2040 będzie </w:t>
      </w:r>
      <w:proofErr w:type="spellStart"/>
      <w:r w:rsidRPr="009356A8">
        <w:rPr>
          <w:rFonts w:ascii="Calibri" w:hAnsi="Calibri"/>
        </w:rPr>
        <w:t>konwergował</w:t>
      </w:r>
      <w:proofErr w:type="spellEnd"/>
      <w:r w:rsidRPr="009356A8">
        <w:rPr>
          <w:rFonts w:ascii="Calibri" w:hAnsi="Calibri"/>
        </w:rPr>
        <w:t xml:space="preserve"> do poziomu górnej granicy celu inflacyjnego Europejskiego Banku Centralnego, tj. do poziomu 2%.</w:t>
      </w:r>
      <w:r w:rsidR="009356A8">
        <w:rPr>
          <w:rFonts w:ascii="Calibri" w:hAnsi="Calibri"/>
        </w:rPr>
        <w:t xml:space="preserve"> </w:t>
      </w:r>
    </w:p>
    <w:p w:rsidR="00283FF6" w:rsidRPr="009356A8"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6"/>
      </w:r>
      <w:r w:rsidRPr="009356A8">
        <w:rPr>
          <w:rFonts w:ascii="Calibri" w:hAnsi="Calibr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C76DBF" w:rsidTr="00C76DBF">
        <w:trPr>
          <w:trHeight w:val="103"/>
          <w:jc w:val="center"/>
        </w:trPr>
        <w:tc>
          <w:tcPr>
            <w:tcW w:w="3575" w:type="dxa"/>
            <w:shd w:val="clear" w:color="auto" w:fill="BFBFBF"/>
          </w:tcPr>
          <w:p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rsidR="00C76DBF" w:rsidRPr="00C76DBF" w:rsidRDefault="00283FF6" w:rsidP="00C76DBF">
            <w:pPr>
              <w:pStyle w:val="Default"/>
              <w:jc w:val="center"/>
              <w:rPr>
                <w:rFonts w:ascii="Calibri" w:hAnsi="Calibri"/>
                <w:b/>
                <w:bCs/>
                <w:sz w:val="20"/>
                <w:szCs w:val="20"/>
              </w:rPr>
            </w:pPr>
            <w:r w:rsidRPr="00C76DBF">
              <w:rPr>
                <w:rFonts w:ascii="Calibri" w:hAnsi="Calibri"/>
                <w:b/>
                <w:bCs/>
                <w:sz w:val="20"/>
                <w:szCs w:val="20"/>
              </w:rPr>
              <w:t>Okres odniesienia</w:t>
            </w:r>
          </w:p>
          <w:p w:rsidR="00283FF6" w:rsidRPr="00C76DBF" w:rsidRDefault="00283FF6" w:rsidP="00C76DBF">
            <w:pPr>
              <w:pStyle w:val="Default"/>
              <w:jc w:val="center"/>
              <w:rPr>
                <w:rFonts w:ascii="Calibri" w:hAnsi="Calibri"/>
                <w:sz w:val="20"/>
                <w:szCs w:val="20"/>
              </w:rPr>
            </w:pPr>
            <w:r w:rsidRPr="00C76DBF">
              <w:rPr>
                <w:rFonts w:ascii="Calibri" w:hAnsi="Calibri"/>
                <w:sz w:val="20"/>
                <w:szCs w:val="20"/>
              </w:rPr>
              <w:t>(w latach)</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24"/>
          <w:jc w:val="center"/>
        </w:trPr>
        <w:tc>
          <w:tcPr>
            <w:tcW w:w="3575" w:type="dxa"/>
          </w:tcPr>
          <w:p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7"/>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rsidTr="00283FF6">
        <w:trPr>
          <w:trHeight w:val="103"/>
          <w:jc w:val="center"/>
        </w:trPr>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rsidR="00C76DBF" w:rsidRPr="00C76DBF" w:rsidRDefault="00C76DBF" w:rsidP="00C76DBF">
      <w:pPr>
        <w:pStyle w:val="Default"/>
        <w:spacing w:line="276" w:lineRule="auto"/>
        <w:ind w:left="720"/>
        <w:jc w:val="both"/>
        <w:rPr>
          <w:rFonts w:ascii="Calibri" w:hAnsi="Calibri"/>
          <w:b/>
          <w:color w:val="FF0000"/>
        </w:rPr>
      </w:pPr>
    </w:p>
    <w:p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dla których okres ten został wskazany 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Pr="00C76DBF">
        <w:rPr>
          <w:rFonts w:ascii="Calibri" w:hAnsi="Calibri"/>
        </w:rPr>
        <w:t xml:space="preserve"> W związku z tym, wartość rezerw na nieprzewidziane wydatki powinna być prezentowana oddzielnie od nakładów inwestycyjnych na realizację</w:t>
      </w:r>
      <w:r w:rsidR="00C76DBF">
        <w:rPr>
          <w:rFonts w:ascii="Calibri" w:hAnsi="Calibri"/>
        </w:rPr>
        <w:t xml:space="preserve"> projektu.</w:t>
      </w:r>
    </w:p>
    <w:p w:rsidR="00BB5E04" w:rsidRPr="006747E7" w:rsidRDefault="00D556EB" w:rsidP="006747E7">
      <w:pPr>
        <w:pStyle w:val="Nagwek2"/>
        <w:numPr>
          <w:ilvl w:val="1"/>
          <w:numId w:val="4"/>
        </w:numPr>
        <w:rPr>
          <w:i w:val="0"/>
        </w:rPr>
      </w:pPr>
      <w:bookmarkStart w:id="27" w:name="_Toc514928900"/>
      <w:r>
        <w:rPr>
          <w:i w:val="0"/>
        </w:rPr>
        <w:t>Określenie przychodów</w:t>
      </w:r>
      <w:bookmarkEnd w:id="27"/>
      <w:r w:rsidRPr="0080373F">
        <w:rPr>
          <w:i w:val="0"/>
        </w:rPr>
        <w:t xml:space="preserve"> </w:t>
      </w:r>
    </w:p>
    <w:p w:rsidR="006747E7" w:rsidRPr="005C0085" w:rsidRDefault="006747E7" w:rsidP="005C0085">
      <w:pPr>
        <w:pStyle w:val="Bezodstpw"/>
      </w:pPr>
    </w:p>
    <w:p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8"/>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lastRenderedPageBreak/>
        <w:t xml:space="preserve">przyjęte taryfy powinny, na tyle, na ile to możliwe, pokrywać nakłady inwestycyjne oraz koszty operacyjne i nakłady odtworzeniowe, jak również koszty związane z zanieczyszczeniem środowiska, </w:t>
      </w:r>
    </w:p>
    <w:p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jeżeli w analizie finansowej stosowano taryfy w wymiarze uwzględniającym kryterium dostępności cenowej, tożsame taryfy muszą być stosowane w fazie operacyjnej projektu, </w:t>
      </w:r>
    </w:p>
    <w:p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330BC0" w:rsidRDefault="00330BC0" w:rsidP="006747E7">
      <w:pPr>
        <w:pStyle w:val="Bezodstpw"/>
        <w:spacing w:line="276" w:lineRule="auto"/>
        <w:jc w:val="both"/>
        <w:rPr>
          <w:rFonts w:eastAsia="Times New Roman" w:cs="Arial"/>
          <w:sz w:val="24"/>
          <w:szCs w:val="24"/>
          <w:lang w:eastAsia="pl-PL"/>
        </w:rPr>
      </w:pPr>
    </w:p>
    <w:p w:rsidR="00330BC0" w:rsidRPr="006747E7" w:rsidRDefault="00330BC0" w:rsidP="006747E7">
      <w:pPr>
        <w:pStyle w:val="Bezodstpw"/>
        <w:spacing w:line="276" w:lineRule="auto"/>
        <w:jc w:val="both"/>
        <w:rPr>
          <w:rFonts w:eastAsia="Times New Roman" w:cs="Arial"/>
          <w:sz w:val="24"/>
          <w:szCs w:val="24"/>
          <w:lang w:eastAsia="pl-PL"/>
        </w:rPr>
      </w:pPr>
    </w:p>
    <w:p w:rsidR="00041F80" w:rsidRPr="00041F80" w:rsidRDefault="00041F80" w:rsidP="00041F80">
      <w:pPr>
        <w:pStyle w:val="Nagwek2"/>
        <w:numPr>
          <w:ilvl w:val="1"/>
          <w:numId w:val="4"/>
        </w:numPr>
        <w:rPr>
          <w:i w:val="0"/>
        </w:rPr>
      </w:pPr>
      <w:bookmarkStart w:id="28" w:name="_Toc514928901"/>
      <w:r>
        <w:rPr>
          <w:i w:val="0"/>
        </w:rPr>
        <w:lastRenderedPageBreak/>
        <w:t>Metoda luki w finansowaniu</w:t>
      </w:r>
      <w:bookmarkEnd w:id="28"/>
    </w:p>
    <w:p w:rsidR="00D523F8" w:rsidRPr="005C0085" w:rsidRDefault="00D523F8" w:rsidP="005C0085">
      <w:pPr>
        <w:pStyle w:val="Bezodstpw"/>
      </w:pPr>
    </w:p>
    <w:p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19"/>
      </w:r>
      <w:r w:rsidRPr="00E56D6D">
        <w:rPr>
          <w:rFonts w:ascii="Calibri" w:hAnsi="Calibri"/>
        </w:rPr>
        <w:t xml:space="preserve"> (stosuje się do projektów, dla których istnieje możliwość obiektywnego określenia przychodu z wyprzedzeniem), lub </w:t>
      </w:r>
    </w:p>
    <w:p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0"/>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rsidR="00224B0F" w:rsidRPr="00224B0F" w:rsidRDefault="00224B0F" w:rsidP="00224B0F">
      <w:pPr>
        <w:pStyle w:val="Bezodstpw"/>
        <w:spacing w:line="276" w:lineRule="auto"/>
        <w:jc w:val="both"/>
        <w:rPr>
          <w:sz w:val="24"/>
          <w:szCs w:val="24"/>
        </w:rPr>
      </w:pPr>
      <w:r w:rsidRPr="00224B0F">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w:t>
      </w:r>
      <w:proofErr w:type="spellStart"/>
      <w:r w:rsidRPr="00224B0F">
        <w:rPr>
          <w:sz w:val="24"/>
          <w:szCs w:val="24"/>
        </w:rPr>
        <w:t>ppkt</w:t>
      </w:r>
      <w:proofErr w:type="spellEnd"/>
      <w:r w:rsidRPr="00224B0F">
        <w:rPr>
          <w:sz w:val="24"/>
          <w:szCs w:val="24"/>
        </w:rPr>
        <w:t xml:space="preserve">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1"/>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Default="00D523F8" w:rsidP="001F7EE5">
      <w:pPr>
        <w:pStyle w:val="Bezodstpw"/>
        <w:spacing w:line="276" w:lineRule="auto"/>
        <w:jc w:val="both"/>
        <w:rPr>
          <w:sz w:val="24"/>
          <w:szCs w:val="24"/>
        </w:rPr>
      </w:pPr>
      <w:r>
        <w:rPr>
          <w:sz w:val="24"/>
          <w:szCs w:val="24"/>
        </w:rPr>
        <w:lastRenderedPageBreak/>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rsidR="007127E2" w:rsidRPr="00224B0F" w:rsidRDefault="007127E2" w:rsidP="001F7EE5">
      <w:pPr>
        <w:pStyle w:val="Bezodstpw"/>
        <w:spacing w:line="276" w:lineRule="auto"/>
        <w:jc w:val="both"/>
        <w:rPr>
          <w:sz w:val="24"/>
          <w:szCs w:val="24"/>
        </w:rPr>
      </w:pP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rsidR="00ED6572" w:rsidRPr="00ED6572" w:rsidRDefault="00ED6572" w:rsidP="00ED6572">
      <w:pPr>
        <w:jc w:val="both"/>
        <w:rPr>
          <w:rFonts w:eastAsia="Times New Roman" w:cs="Arial"/>
          <w:sz w:val="24"/>
          <w:szCs w:val="24"/>
          <w:lang w:val="en-US" w:eastAsia="pl-PL"/>
        </w:rPr>
      </w:pPr>
      <w:proofErr w:type="spellStart"/>
      <w:r w:rsidRPr="00ED6572">
        <w:rPr>
          <w:rFonts w:eastAsia="Times New Roman" w:cs="Arial"/>
          <w:sz w:val="24"/>
          <w:szCs w:val="24"/>
          <w:lang w:val="en-US" w:eastAsia="pl-PL"/>
        </w:rPr>
        <w:t>gdzie</w:t>
      </w:r>
      <w:proofErr w:type="spellEnd"/>
      <w:r w:rsidRPr="00ED6572">
        <w:rPr>
          <w:rFonts w:eastAsia="Times New Roman" w:cs="Arial"/>
          <w:sz w:val="24"/>
          <w:szCs w:val="24"/>
          <w:lang w:val="en-US" w:eastAsia="pl-PL"/>
        </w:rPr>
        <w:t xml:space="preserve">: </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ECR = EC * R</w:t>
      </w:r>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lastRenderedPageBreak/>
        <w:t xml:space="preserve">krok 3. Określenie (maksymalnej możliwej) dotacji UE (Dotacja UE): </w:t>
      </w:r>
    </w:p>
    <w:p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 xml:space="preserve">Dotacja UE = ECR * Max </w:t>
      </w:r>
      <w:proofErr w:type="spellStart"/>
      <w:r w:rsidRPr="00ED6572">
        <w:rPr>
          <w:rFonts w:eastAsia="Times New Roman" w:cs="Arial"/>
          <w:b/>
          <w:bCs/>
          <w:sz w:val="24"/>
          <w:szCs w:val="24"/>
          <w:lang w:eastAsia="pl-PL"/>
        </w:rPr>
        <w:t>CRpa</w:t>
      </w:r>
      <w:proofErr w:type="spellEnd"/>
    </w:p>
    <w:p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w:t>
      </w:r>
      <w:proofErr w:type="spellStart"/>
      <w:r w:rsidRPr="00ED6572">
        <w:rPr>
          <w:rFonts w:eastAsia="Times New Roman" w:cs="Arial"/>
          <w:b/>
          <w:bCs/>
          <w:sz w:val="24"/>
          <w:szCs w:val="24"/>
          <w:lang w:eastAsia="pl-PL"/>
        </w:rPr>
        <w:t>CRpa</w:t>
      </w:r>
      <w:proofErr w:type="spellEnd"/>
      <w:r w:rsidRPr="00ED6572">
        <w:rPr>
          <w:rFonts w:eastAsia="Times New Roman" w:cs="Arial"/>
          <w:b/>
          <w:bCs/>
          <w:sz w:val="24"/>
          <w:szCs w:val="24"/>
          <w:lang w:eastAsia="pl-PL"/>
        </w:rPr>
        <w:t xml:space="preserve">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7127E2" w:rsidRPr="009E7C36"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rsidR="007127E2" w:rsidRPr="007127E2" w:rsidRDefault="007127E2" w:rsidP="007127E2">
      <w:pPr>
        <w:pStyle w:val="Nagwek2"/>
        <w:numPr>
          <w:ilvl w:val="1"/>
          <w:numId w:val="4"/>
        </w:numPr>
        <w:rPr>
          <w:b w:val="0"/>
          <w:i w:val="0"/>
        </w:rPr>
      </w:pPr>
      <w:bookmarkStart w:id="29" w:name="_Toc514928902"/>
      <w:r w:rsidRPr="007127E2">
        <w:rPr>
          <w:i w:val="0"/>
        </w:rPr>
        <w:t>Metoda zryczałtowanych procentowych staw</w:t>
      </w:r>
      <w:r>
        <w:rPr>
          <w:i w:val="0"/>
        </w:rPr>
        <w:t>ek</w:t>
      </w:r>
      <w:r w:rsidRPr="007127E2">
        <w:rPr>
          <w:i w:val="0"/>
        </w:rPr>
        <w:t xml:space="preserve"> dochodów</w:t>
      </w:r>
      <w:bookmarkEnd w:id="29"/>
      <w:r w:rsidRPr="007127E2">
        <w:rPr>
          <w:i w:val="0"/>
        </w:rPr>
        <w:t xml:space="preserve"> </w:t>
      </w:r>
    </w:p>
    <w:p w:rsidR="007127E2" w:rsidRPr="005C0085" w:rsidRDefault="007127E2" w:rsidP="005C0085">
      <w:pPr>
        <w:pStyle w:val="Bezodstpw"/>
      </w:pPr>
    </w:p>
    <w:p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402"/>
        <w:gridCol w:w="2508"/>
      </w:tblGrid>
      <w:tr w:rsidR="005166BE" w:rsidRPr="00C76DBF" w:rsidTr="005166BE">
        <w:trPr>
          <w:trHeight w:val="103"/>
          <w:jc w:val="center"/>
        </w:trPr>
        <w:tc>
          <w:tcPr>
            <w:tcW w:w="703" w:type="pct"/>
            <w:shd w:val="clear" w:color="auto" w:fill="BFBFBF"/>
          </w:tcPr>
          <w:p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rsidR="005166BE" w:rsidRPr="00C76DBF" w:rsidRDefault="005166BE" w:rsidP="00B65756">
            <w:pPr>
              <w:pStyle w:val="Default"/>
              <w:jc w:val="center"/>
              <w:rPr>
                <w:rFonts w:ascii="Calibri" w:hAnsi="Calibri"/>
                <w:sz w:val="20"/>
                <w:szCs w:val="20"/>
              </w:rPr>
            </w:pP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rsidTr="005166BE">
        <w:trPr>
          <w:trHeight w:val="103"/>
          <w:jc w:val="center"/>
        </w:trPr>
        <w:tc>
          <w:tcPr>
            <w:tcW w:w="703" w:type="pct"/>
          </w:tcPr>
          <w:p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rsidR="005166BE" w:rsidRPr="00C76DBF" w:rsidRDefault="005166BE" w:rsidP="00B65756">
            <w:pPr>
              <w:pStyle w:val="Default"/>
              <w:rPr>
                <w:rFonts w:ascii="Calibri" w:hAnsi="Calibri"/>
                <w:sz w:val="20"/>
                <w:szCs w:val="20"/>
              </w:rPr>
            </w:pPr>
            <w:r>
              <w:rPr>
                <w:rFonts w:ascii="Calibri" w:hAnsi="Calibri"/>
                <w:sz w:val="20"/>
                <w:szCs w:val="20"/>
              </w:rPr>
              <w:t>20%</w:t>
            </w:r>
          </w:p>
        </w:tc>
      </w:tr>
    </w:tbl>
    <w:p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lastRenderedPageBreak/>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2"/>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rsidR="000C2B2F" w:rsidRPr="000C2B2F" w:rsidRDefault="000C2B2F" w:rsidP="000C2B2F">
      <w:pPr>
        <w:autoSpaceDE w:val="0"/>
        <w:autoSpaceDN w:val="0"/>
        <w:adjustRightInd w:val="0"/>
        <w:spacing w:after="0"/>
        <w:jc w:val="both"/>
        <w:rPr>
          <w:rFonts w:cs="Calibri,Italic"/>
          <w:iCs/>
          <w:sz w:val="24"/>
          <w:szCs w:val="24"/>
        </w:rPr>
      </w:pPr>
    </w:p>
    <w:p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rsidR="006143F5" w:rsidRDefault="006143F5" w:rsidP="000C2B2F">
      <w:pPr>
        <w:autoSpaceDE w:val="0"/>
        <w:autoSpaceDN w:val="0"/>
        <w:adjustRightInd w:val="0"/>
        <w:spacing w:after="0"/>
        <w:jc w:val="both"/>
        <w:rPr>
          <w:rFonts w:cs="Calibri,Italic"/>
          <w:iCs/>
          <w:sz w:val="24"/>
          <w:szCs w:val="24"/>
        </w:rPr>
      </w:pP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FR </w:t>
      </w:r>
      <w:r w:rsidRPr="00B65756">
        <w:rPr>
          <w:rFonts w:cs="Calibri,Italic"/>
          <w:iCs/>
          <w:sz w:val="24"/>
          <w:szCs w:val="24"/>
        </w:rPr>
        <w:t xml:space="preserve"> – zryczałtowana procentowa stawka dochodów</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rsidR="00B65756" w:rsidRDefault="00B65756" w:rsidP="000C2B2F">
      <w:pPr>
        <w:autoSpaceDE w:val="0"/>
        <w:autoSpaceDN w:val="0"/>
        <w:adjustRightInd w:val="0"/>
        <w:spacing w:after="0"/>
        <w:jc w:val="both"/>
        <w:rPr>
          <w:rFonts w:cs="Calibri,Italic"/>
          <w:iCs/>
          <w:sz w:val="24"/>
          <w:szCs w:val="24"/>
        </w:rPr>
      </w:pPr>
    </w:p>
    <w:p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 xml:space="preserve">Dotacja UE = ECR * Max </w:t>
      </w:r>
      <w:proofErr w:type="spellStart"/>
      <w:r w:rsidRPr="00B65756">
        <w:rPr>
          <w:rFonts w:cs="Calibri,Italic"/>
          <w:b/>
          <w:bCs/>
          <w:iCs/>
          <w:sz w:val="24"/>
          <w:szCs w:val="24"/>
        </w:rPr>
        <w:t>CRpa</w:t>
      </w:r>
      <w:proofErr w:type="spellEnd"/>
    </w:p>
    <w:p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w:t>
      </w:r>
      <w:proofErr w:type="spellStart"/>
      <w:r w:rsidRPr="00B65756">
        <w:rPr>
          <w:rFonts w:cs="Calibri,Italic"/>
          <w:b/>
          <w:bCs/>
          <w:iCs/>
          <w:sz w:val="24"/>
          <w:szCs w:val="24"/>
        </w:rPr>
        <w:t>CRpa</w:t>
      </w:r>
      <w:proofErr w:type="spellEnd"/>
      <w:r w:rsidRPr="00B65756">
        <w:rPr>
          <w:rFonts w:cs="Calibri,Italic"/>
          <w:b/>
          <w:bCs/>
          <w:iCs/>
          <w:sz w:val="24"/>
          <w:szCs w:val="24"/>
        </w:rPr>
        <w:t xml:space="preserve">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Default="00B65756" w:rsidP="00B65756">
      <w:pPr>
        <w:autoSpaceDE w:val="0"/>
        <w:autoSpaceDN w:val="0"/>
        <w:adjustRightInd w:val="0"/>
        <w:spacing w:after="0"/>
        <w:jc w:val="both"/>
        <w:rPr>
          <w:rFonts w:cs="Calibri,Italic"/>
          <w:iCs/>
          <w:sz w:val="24"/>
          <w:szCs w:val="24"/>
        </w:rPr>
      </w:pPr>
    </w:p>
    <w:p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lastRenderedPageBreak/>
        <w:t xml:space="preserve">gdzie: </w:t>
      </w:r>
    </w:p>
    <w:p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rsidR="00100A23" w:rsidRPr="00100A23" w:rsidRDefault="00100A23" w:rsidP="00B65756">
      <w:pPr>
        <w:pStyle w:val="Default"/>
        <w:spacing w:line="276" w:lineRule="auto"/>
        <w:jc w:val="both"/>
        <w:rPr>
          <w:rFonts w:ascii="Calibri" w:hAnsi="Calibri" w:cs="Calibri,Italic"/>
          <w:iCs/>
        </w:rPr>
      </w:pP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działania : </w:t>
      </w:r>
    </w:p>
    <w:p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xml:space="preserve">= Max </w:t>
      </w:r>
      <w:proofErr w:type="spellStart"/>
      <w:r w:rsidRPr="00B164C4">
        <w:rPr>
          <w:rFonts w:ascii="Calibri" w:hAnsi="Calibri"/>
          <w:b/>
          <w:bCs/>
          <w:sz w:val="28"/>
          <w:szCs w:val="28"/>
        </w:rPr>
        <w:t>CRpa</w:t>
      </w:r>
      <w:proofErr w:type="spellEnd"/>
      <w:r w:rsidRPr="00B164C4">
        <w:rPr>
          <w:rFonts w:ascii="Calibri" w:hAnsi="Calibri"/>
          <w:b/>
          <w:bCs/>
          <w:sz w:val="28"/>
          <w:szCs w:val="28"/>
        </w:rPr>
        <w:t xml:space="preserve"> * R</w:t>
      </w:r>
    </w:p>
    <w:p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rsidR="00B164C4" w:rsidRPr="00B164C4" w:rsidRDefault="00B164C4" w:rsidP="00100A23">
      <w:pPr>
        <w:pStyle w:val="Default"/>
        <w:spacing w:line="276" w:lineRule="auto"/>
        <w:ind w:left="720"/>
        <w:jc w:val="center"/>
        <w:rPr>
          <w:rFonts w:ascii="Calibri" w:hAnsi="Calibri" w:cs="Calibri,Italic"/>
          <w:b/>
          <w:bCs/>
          <w:iCs/>
        </w:rPr>
      </w:pPr>
    </w:p>
    <w:p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przypadku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rsidR="00F9645B" w:rsidRPr="0080373F" w:rsidRDefault="00F9645B" w:rsidP="00F9645B">
      <w:pPr>
        <w:pStyle w:val="Nagwek2"/>
        <w:numPr>
          <w:ilvl w:val="1"/>
          <w:numId w:val="4"/>
        </w:numPr>
        <w:rPr>
          <w:i w:val="0"/>
        </w:rPr>
      </w:pPr>
      <w:bookmarkStart w:id="30" w:name="_Toc514928903"/>
      <w:r>
        <w:rPr>
          <w:i w:val="0"/>
        </w:rPr>
        <w:t xml:space="preserve">Wskaźniki efektywności </w:t>
      </w:r>
      <w:r w:rsidRPr="0080373F">
        <w:rPr>
          <w:i w:val="0"/>
        </w:rPr>
        <w:t>finansowej</w:t>
      </w:r>
      <w:bookmarkEnd w:id="30"/>
      <w:r w:rsidRPr="0080373F">
        <w:rPr>
          <w:i w:val="0"/>
        </w:rPr>
        <w:t xml:space="preserve"> </w:t>
      </w:r>
    </w:p>
    <w:p w:rsidR="00161F89" w:rsidRDefault="00161F89" w:rsidP="00B164C4">
      <w:pPr>
        <w:pStyle w:val="Bezodstpw"/>
      </w:pPr>
    </w:p>
    <w:p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rsidR="00BC30B5" w:rsidRDefault="00C62C66" w:rsidP="009F3632">
      <w:pPr>
        <w:pStyle w:val="Bezodstpw"/>
        <w:spacing w:line="276" w:lineRule="auto"/>
        <w:jc w:val="both"/>
        <w:rPr>
          <w:sz w:val="24"/>
          <w:szCs w:val="24"/>
        </w:rPr>
      </w:pPr>
      <w:r>
        <w:rPr>
          <w:sz w:val="24"/>
          <w:szCs w:val="24"/>
        </w:rPr>
        <w:lastRenderedPageBreak/>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rsidR="00161F89" w:rsidRPr="00C62C66" w:rsidRDefault="009F3632" w:rsidP="009F3632">
      <w:pPr>
        <w:pStyle w:val="Bezodstpw"/>
        <w:spacing w:line="276" w:lineRule="auto"/>
        <w:jc w:val="both"/>
        <w:rPr>
          <w:sz w:val="24"/>
          <w:szCs w:val="24"/>
        </w:rPr>
      </w:pPr>
      <w:r>
        <w:rPr>
          <w:sz w:val="24"/>
          <w:szCs w:val="24"/>
        </w:rPr>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rsidR="009F3632" w:rsidRPr="0080373F" w:rsidRDefault="009F3632" w:rsidP="009F3632">
      <w:pPr>
        <w:pStyle w:val="Nagwek2"/>
        <w:numPr>
          <w:ilvl w:val="1"/>
          <w:numId w:val="4"/>
        </w:numPr>
        <w:rPr>
          <w:i w:val="0"/>
        </w:rPr>
      </w:pPr>
      <w:bookmarkStart w:id="31" w:name="_Toc514928904"/>
      <w:r>
        <w:rPr>
          <w:i w:val="0"/>
        </w:rPr>
        <w:t xml:space="preserve">Analiza trwałości </w:t>
      </w:r>
      <w:r w:rsidRPr="0080373F">
        <w:rPr>
          <w:i w:val="0"/>
        </w:rPr>
        <w:t>finansowej</w:t>
      </w:r>
      <w:bookmarkEnd w:id="31"/>
      <w:r w:rsidRPr="0080373F">
        <w:rPr>
          <w:i w:val="0"/>
        </w:rPr>
        <w:t xml:space="preserve"> </w:t>
      </w:r>
    </w:p>
    <w:p w:rsidR="009E7C36" w:rsidRPr="00B164C4" w:rsidRDefault="009E7C36" w:rsidP="00B164C4">
      <w:pPr>
        <w:pStyle w:val="Bezodstpw"/>
      </w:pPr>
    </w:p>
    <w:p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9E7C36" w:rsidRDefault="009E7C36" w:rsidP="009E7C36">
      <w:pPr>
        <w:pStyle w:val="Bezodstpw"/>
        <w:spacing w:line="276" w:lineRule="auto"/>
        <w:jc w:val="both"/>
        <w:rPr>
          <w:sz w:val="24"/>
          <w:szCs w:val="24"/>
        </w:rPr>
      </w:pPr>
      <w:r w:rsidRPr="009E7C36">
        <w:rPr>
          <w:sz w:val="24"/>
          <w:szCs w:val="24"/>
        </w:rPr>
        <w:t xml:space="preserve"> </w:t>
      </w:r>
    </w:p>
    <w:p w:rsidR="006C76DD"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rsidR="006C76DD" w:rsidRDefault="006C76DD" w:rsidP="009E7C36">
      <w:pPr>
        <w:pStyle w:val="Bezodstpw"/>
        <w:spacing w:line="276" w:lineRule="auto"/>
        <w:jc w:val="both"/>
        <w:rPr>
          <w:sz w:val="24"/>
          <w:szCs w:val="24"/>
        </w:rPr>
      </w:pPr>
    </w:p>
    <w:p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9E7C36" w:rsidRDefault="006C76DD" w:rsidP="009E7C36">
      <w:pPr>
        <w:pStyle w:val="Bezodstpw"/>
        <w:spacing w:line="276" w:lineRule="auto"/>
        <w:jc w:val="both"/>
        <w:rPr>
          <w:sz w:val="24"/>
          <w:szCs w:val="24"/>
        </w:rPr>
      </w:pPr>
    </w:p>
    <w:p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Default="009E7C36" w:rsidP="009E7C36">
      <w:pPr>
        <w:pStyle w:val="Bezodstpw"/>
        <w:spacing w:line="276" w:lineRule="auto"/>
        <w:jc w:val="both"/>
        <w:rPr>
          <w:sz w:val="24"/>
          <w:szCs w:val="24"/>
        </w:rPr>
      </w:pPr>
      <w:r w:rsidRPr="009E7C36">
        <w:rPr>
          <w:sz w:val="24"/>
          <w:szCs w:val="24"/>
        </w:rPr>
        <w:lastRenderedPageBreak/>
        <w:t xml:space="preserve"> </w:t>
      </w:r>
    </w:p>
    <w:p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rsidR="00FB6532" w:rsidRDefault="00FB6532" w:rsidP="00FB6532">
      <w:pPr>
        <w:pStyle w:val="Nagwek1"/>
        <w:numPr>
          <w:ilvl w:val="0"/>
          <w:numId w:val="4"/>
        </w:numPr>
      </w:pPr>
      <w:bookmarkStart w:id="32" w:name="_Toc514928905"/>
      <w:r>
        <w:t>Analiza kosztów i korzyści</w:t>
      </w:r>
      <w:bookmarkEnd w:id="32"/>
    </w:p>
    <w:p w:rsidR="0029545B" w:rsidRPr="0029545B" w:rsidRDefault="0029545B" w:rsidP="0029545B">
      <w:pPr>
        <w:pStyle w:val="Bezodstpw"/>
      </w:pPr>
    </w:p>
    <w:p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rsidR="00F2727E" w:rsidRPr="002C1B70" w:rsidRDefault="00F2727E" w:rsidP="00983053">
      <w:pPr>
        <w:pStyle w:val="Bezodstpw"/>
        <w:spacing w:line="276" w:lineRule="auto"/>
        <w:jc w:val="both"/>
        <w:rPr>
          <w:sz w:val="16"/>
          <w:szCs w:val="16"/>
        </w:rPr>
      </w:pPr>
    </w:p>
    <w:p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rsidR="00F2727E" w:rsidRPr="002C1B70" w:rsidRDefault="00983053" w:rsidP="00F2727E">
      <w:pPr>
        <w:pStyle w:val="Bezodstpw"/>
        <w:jc w:val="both"/>
        <w:rPr>
          <w:sz w:val="16"/>
          <w:szCs w:val="16"/>
        </w:rPr>
      </w:pPr>
      <w:r w:rsidRPr="00983053">
        <w:rPr>
          <w:sz w:val="24"/>
          <w:szCs w:val="24"/>
        </w:rPr>
        <w:t xml:space="preserve"> </w:t>
      </w:r>
    </w:p>
    <w:p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rsidR="00F2727E" w:rsidRPr="002C1B70" w:rsidRDefault="00F2727E" w:rsidP="00F2727E">
      <w:pPr>
        <w:pStyle w:val="Bezodstpw"/>
        <w:spacing w:line="276" w:lineRule="auto"/>
        <w:jc w:val="both"/>
        <w:rPr>
          <w:sz w:val="16"/>
          <w:szCs w:val="16"/>
        </w:rPr>
      </w:pPr>
    </w:p>
    <w:p w:rsidR="00CA7B10" w:rsidRDefault="00F2727E" w:rsidP="00F2727E">
      <w:pPr>
        <w:pStyle w:val="Bezodstpw"/>
        <w:spacing w:line="276" w:lineRule="auto"/>
        <w:jc w:val="both"/>
        <w:rPr>
          <w:sz w:val="24"/>
          <w:szCs w:val="24"/>
        </w:rPr>
      </w:pPr>
      <w:r w:rsidRPr="00F2727E">
        <w:rPr>
          <w:sz w:val="24"/>
          <w:szCs w:val="24"/>
        </w:rPr>
        <w:t>Analiza ekonomiczna przeprowadzana jest w drodze skorygowania wyników analizy finansowej o efekty fiskalne, efekty zewnętrzne oraz ceny rozrachunkowe</w:t>
      </w:r>
      <w:r>
        <w:rPr>
          <w:rStyle w:val="Odwoanieprzypisudolnego"/>
          <w:sz w:val="24"/>
          <w:szCs w:val="24"/>
        </w:rPr>
        <w:footnoteReference w:id="23"/>
      </w:r>
      <w:r w:rsidRPr="00F2727E">
        <w:rPr>
          <w:sz w:val="24"/>
          <w:szCs w:val="24"/>
        </w:rPr>
        <w:t xml:space="preserve">. </w:t>
      </w:r>
    </w:p>
    <w:p w:rsidR="00983053" w:rsidRPr="002C1B70" w:rsidRDefault="00983053" w:rsidP="00983053">
      <w:pPr>
        <w:pStyle w:val="Bezodstpw"/>
        <w:spacing w:line="276" w:lineRule="auto"/>
        <w:jc w:val="both"/>
        <w:rPr>
          <w:sz w:val="16"/>
          <w:szCs w:val="16"/>
        </w:rPr>
      </w:pPr>
    </w:p>
    <w:p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rsidR="00303CD4" w:rsidRPr="002C1B70" w:rsidRDefault="00303CD4" w:rsidP="00303CD4">
      <w:pPr>
        <w:pStyle w:val="Bezodstpw"/>
        <w:spacing w:line="276" w:lineRule="auto"/>
        <w:jc w:val="both"/>
        <w:rPr>
          <w:rFonts w:cs="Calibri,Italic"/>
          <w:iCs/>
          <w:sz w:val="16"/>
          <w:szCs w:val="16"/>
        </w:rPr>
      </w:pPr>
    </w:p>
    <w:p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8.1  </w:t>
      </w:r>
      <w:r w:rsidR="00C32B9C" w:rsidRPr="00CA7B10">
        <w:rPr>
          <w:b/>
          <w:i/>
          <w:sz w:val="24"/>
          <w:szCs w:val="24"/>
          <w:lang w:eastAsia="pl-PL"/>
        </w:rPr>
        <w:t>Wytycznych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rsidR="00C32B9C" w:rsidRPr="002C1B70" w:rsidRDefault="00C32B9C" w:rsidP="003D78EB">
      <w:pPr>
        <w:pStyle w:val="Bezodstpw"/>
        <w:spacing w:line="276" w:lineRule="auto"/>
        <w:jc w:val="both"/>
        <w:rPr>
          <w:rFonts w:cs="Calibri,Italic"/>
          <w:b/>
          <w:iCs/>
          <w:sz w:val="16"/>
          <w:szCs w:val="16"/>
        </w:rPr>
      </w:pPr>
    </w:p>
    <w:p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rsidR="00303CD4" w:rsidRPr="002C1B70" w:rsidRDefault="003B45C5" w:rsidP="002C1B70">
      <w:pPr>
        <w:pStyle w:val="Default"/>
        <w:spacing w:line="276" w:lineRule="auto"/>
        <w:jc w:val="both"/>
        <w:rPr>
          <w:rFonts w:ascii="Calibri" w:hAnsi="Calibri"/>
          <w:b/>
        </w:rPr>
      </w:pPr>
      <w:r>
        <w:rPr>
          <w:rFonts w:ascii="Calibri" w:hAnsi="Calibri"/>
          <w:b/>
        </w:rPr>
        <w:lastRenderedPageBreak/>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rsidR="00CA7B10" w:rsidRDefault="00CA7B10" w:rsidP="00CA7B10">
      <w:pPr>
        <w:pStyle w:val="Nagwek1"/>
        <w:numPr>
          <w:ilvl w:val="0"/>
          <w:numId w:val="4"/>
        </w:numPr>
      </w:pPr>
      <w:bookmarkStart w:id="33" w:name="_Toc514928906"/>
      <w:r>
        <w:t>Analiza wrażliwości i ryzyka</w:t>
      </w:r>
      <w:bookmarkEnd w:id="33"/>
    </w:p>
    <w:p w:rsidR="00DD3C25" w:rsidRDefault="00DD3C25" w:rsidP="00DD3C25">
      <w:pPr>
        <w:pStyle w:val="Bezodstpw"/>
        <w:rPr>
          <w:lang w:eastAsia="pl-PL"/>
        </w:rPr>
      </w:pPr>
    </w:p>
    <w:p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rsidR="00D210FD" w:rsidRPr="0061432B" w:rsidRDefault="00D210FD" w:rsidP="00C522A0">
      <w:pPr>
        <w:pStyle w:val="Bezodstpw"/>
        <w:spacing w:line="276" w:lineRule="auto"/>
        <w:jc w:val="both"/>
        <w:rPr>
          <w:sz w:val="24"/>
          <w:szCs w:val="24"/>
        </w:rPr>
      </w:pPr>
    </w:p>
    <w:p w:rsidR="00CA7B10" w:rsidRDefault="00CA7B10" w:rsidP="00CA7B10">
      <w:pPr>
        <w:pStyle w:val="Nagwek1"/>
        <w:numPr>
          <w:ilvl w:val="0"/>
          <w:numId w:val="4"/>
        </w:numPr>
      </w:pPr>
      <w:bookmarkStart w:id="34" w:name="_Toc514928907"/>
      <w:r>
        <w:t xml:space="preserve">Analizy </w:t>
      </w:r>
      <w:r w:rsidR="00CD0B49">
        <w:t xml:space="preserve">i informacje </w:t>
      </w:r>
      <w:r>
        <w:t xml:space="preserve">specyficzne dla danego rodzaju </w:t>
      </w:r>
      <w:r w:rsidR="0059311F">
        <w:t xml:space="preserve">projektu </w:t>
      </w:r>
      <w:r>
        <w:t>lub sektora</w:t>
      </w:r>
      <w:bookmarkEnd w:id="34"/>
    </w:p>
    <w:p w:rsidR="000C105F" w:rsidRDefault="000C105F" w:rsidP="000C105F">
      <w:pPr>
        <w:autoSpaceDE w:val="0"/>
        <w:autoSpaceDN w:val="0"/>
        <w:adjustRightInd w:val="0"/>
        <w:spacing w:after="0" w:line="240" w:lineRule="auto"/>
        <w:rPr>
          <w:rFonts w:cs="Calibri"/>
          <w:color w:val="000000"/>
          <w:sz w:val="20"/>
          <w:szCs w:val="20"/>
          <w:lang w:eastAsia="pl-PL"/>
        </w:rPr>
      </w:pPr>
    </w:p>
    <w:p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rsidR="00430277" w:rsidRPr="0008254A" w:rsidRDefault="00CD0B49" w:rsidP="0008254A">
      <w:pPr>
        <w:jc w:val="both"/>
        <w:rPr>
          <w:b/>
          <w:sz w:val="24"/>
          <w:szCs w:val="24"/>
        </w:rPr>
      </w:pPr>
      <w:r w:rsidRPr="00CB116F">
        <w:rPr>
          <w:b/>
          <w:sz w:val="24"/>
          <w:szCs w:val="24"/>
        </w:rPr>
        <w:t xml:space="preserve">Przedstawione informacje i analizy muszą odnosić się do kryteriów </w:t>
      </w:r>
      <w:bookmarkStart w:id="35" w:name="_Hlk514928845"/>
      <w:r w:rsidRPr="00CB116F">
        <w:rPr>
          <w:b/>
          <w:sz w:val="24"/>
          <w:szCs w:val="24"/>
        </w:rPr>
        <w:t xml:space="preserve">oceny merytorycznej projektu </w:t>
      </w:r>
      <w:bookmarkEnd w:id="35"/>
      <w:r w:rsidRPr="00CB116F">
        <w:rPr>
          <w:b/>
          <w:sz w:val="24"/>
          <w:szCs w:val="24"/>
        </w:rPr>
        <w:t>–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rsidR="00B76479" w:rsidRPr="00694DB9" w:rsidRDefault="00694DB9" w:rsidP="00694DB9">
      <w:pPr>
        <w:pStyle w:val="Nagwek2"/>
        <w:numPr>
          <w:ilvl w:val="1"/>
          <w:numId w:val="4"/>
        </w:numPr>
        <w:jc w:val="both"/>
        <w:rPr>
          <w:rFonts w:asciiTheme="majorHAnsi" w:hAnsiTheme="majorHAnsi" w:cstheme="minorHAnsi"/>
        </w:rPr>
      </w:pPr>
      <w:bookmarkStart w:id="36" w:name="_Toc450545176"/>
      <w:bookmarkStart w:id="37" w:name="_Toc514928908"/>
      <w:r w:rsidRPr="00694DB9">
        <w:rPr>
          <w:rFonts w:asciiTheme="majorHAnsi" w:hAnsiTheme="majorHAnsi" w:cstheme="minorHAnsi"/>
          <w:i w:val="0"/>
        </w:rPr>
        <w:lastRenderedPageBreak/>
        <w:t xml:space="preserve">Kryteria oceny merytorycznej projektu </w:t>
      </w:r>
      <w:r>
        <w:rPr>
          <w:rFonts w:asciiTheme="majorHAnsi" w:hAnsiTheme="majorHAnsi" w:cstheme="minorHAnsi"/>
          <w:i w:val="0"/>
        </w:rPr>
        <w:t xml:space="preserve"> - </w:t>
      </w:r>
      <w:r w:rsidRPr="00694DB9">
        <w:rPr>
          <w:rFonts w:asciiTheme="majorHAnsi" w:hAnsiTheme="majorHAnsi" w:cstheme="minorHAnsi"/>
          <w:i w:val="0"/>
        </w:rPr>
        <w:t xml:space="preserve">dopuszczające sektorowe </w:t>
      </w:r>
      <w:r>
        <w:rPr>
          <w:rFonts w:asciiTheme="majorHAnsi" w:hAnsiTheme="majorHAnsi" w:cstheme="minorHAnsi"/>
          <w:i w:val="0"/>
        </w:rPr>
        <w:br/>
      </w:r>
      <w:r w:rsidRPr="00694DB9">
        <w:rPr>
          <w:rFonts w:asciiTheme="majorHAnsi" w:hAnsiTheme="majorHAnsi" w:cstheme="minorHAnsi"/>
          <w:i w:val="0"/>
        </w:rPr>
        <w:t xml:space="preserve">w ramach </w:t>
      </w:r>
      <w:r w:rsidR="00D210FD" w:rsidRPr="00694DB9">
        <w:rPr>
          <w:rFonts w:asciiTheme="majorHAnsi" w:hAnsiTheme="majorHAnsi" w:cstheme="minorHAnsi"/>
          <w:i w:val="0"/>
        </w:rPr>
        <w:t xml:space="preserve">Działanie </w:t>
      </w:r>
      <w:r w:rsidR="007E015F" w:rsidRPr="00694DB9">
        <w:rPr>
          <w:rFonts w:asciiTheme="majorHAnsi" w:hAnsiTheme="majorHAnsi" w:cstheme="minorHAnsi"/>
          <w:i w:val="0"/>
        </w:rPr>
        <w:t>2.2</w:t>
      </w:r>
      <w:r w:rsidR="00D210FD" w:rsidRPr="00694DB9">
        <w:rPr>
          <w:rFonts w:asciiTheme="majorHAnsi" w:hAnsiTheme="majorHAnsi" w:cstheme="minorHAnsi"/>
          <w:i w:val="0"/>
        </w:rPr>
        <w:t xml:space="preserve"> </w:t>
      </w:r>
      <w:bookmarkEnd w:id="36"/>
      <w:r>
        <w:rPr>
          <w:rFonts w:asciiTheme="majorHAnsi" w:hAnsiTheme="majorHAnsi" w:cstheme="minorHAnsi"/>
          <w:i w:val="0"/>
        </w:rPr>
        <w:t xml:space="preserve">- </w:t>
      </w:r>
      <w:r w:rsidR="007E015F" w:rsidRPr="00694DB9">
        <w:rPr>
          <w:rFonts w:asciiTheme="majorHAnsi" w:hAnsiTheme="majorHAnsi" w:cstheme="minorHAnsi"/>
        </w:rPr>
        <w:t>Tworzenie nowych terenów inwestycyjnych</w:t>
      </w:r>
      <w:r w:rsidRPr="00694DB9">
        <w:rPr>
          <w:rFonts w:asciiTheme="majorHAnsi" w:hAnsiTheme="majorHAnsi" w:cstheme="minorHAnsi"/>
        </w:rPr>
        <w:t>.</w:t>
      </w:r>
      <w:bookmarkEnd w:id="37"/>
    </w:p>
    <w:p w:rsidR="00B538DA" w:rsidRPr="00D96699" w:rsidRDefault="00B538DA" w:rsidP="00D61255">
      <w:pPr>
        <w:pStyle w:val="podpunkt"/>
        <w:numPr>
          <w:ilvl w:val="0"/>
          <w:numId w:val="0"/>
        </w:numPr>
        <w:ind w:left="1080" w:hanging="720"/>
        <w:rPr>
          <w:sz w:val="24"/>
          <w:szCs w:val="24"/>
        </w:rPr>
      </w:pPr>
    </w:p>
    <w:p w:rsidR="00D210FD" w:rsidRPr="00321481" w:rsidRDefault="00D210FD" w:rsidP="00321481">
      <w:pPr>
        <w:pStyle w:val="Akapitzlist"/>
        <w:numPr>
          <w:ilvl w:val="0"/>
          <w:numId w:val="40"/>
        </w:numPr>
        <w:jc w:val="both"/>
        <w:rPr>
          <w:b/>
          <w:sz w:val="24"/>
          <w:szCs w:val="24"/>
        </w:rPr>
      </w:pPr>
      <w:r w:rsidRPr="00321481">
        <w:rPr>
          <w:b/>
          <w:sz w:val="24"/>
          <w:szCs w:val="24"/>
        </w:rPr>
        <w:t xml:space="preserve"> </w:t>
      </w:r>
      <w:r w:rsidR="00B23928" w:rsidRPr="00321481">
        <w:rPr>
          <w:b/>
          <w:sz w:val="24"/>
          <w:szCs w:val="24"/>
        </w:rPr>
        <w:t>Lokalizacja inwestycji powinna zostać potwierdzona udokumentowanym zapotrzebowaniem firm poszukujących lokalizacji do prowadzenia działalności gospodarczej?</w:t>
      </w:r>
    </w:p>
    <w:p w:rsidR="00B23928" w:rsidRPr="00246113" w:rsidRDefault="00B23928" w:rsidP="00246113">
      <w:pPr>
        <w:jc w:val="both"/>
        <w:rPr>
          <w:rFonts w:asciiTheme="minorHAnsi" w:hAnsiTheme="minorHAnsi" w:cstheme="minorHAnsi"/>
          <w:sz w:val="24"/>
          <w:szCs w:val="24"/>
        </w:rPr>
      </w:pPr>
      <w:r w:rsidRPr="00246113">
        <w:rPr>
          <w:rFonts w:asciiTheme="minorHAnsi" w:hAnsiTheme="minorHAnsi" w:cstheme="minorHAnsi"/>
          <w:sz w:val="24"/>
          <w:szCs w:val="24"/>
        </w:rPr>
        <w:t xml:space="preserve">Wymaganym jest przedłożenie dokumentu potwierdzającego zapotrzebowanie ze strony małych i średnich przedsiębiorstw na teren inwestycyjny (tzw. analiza potrzeb). Zaleca się, aby analiza potrzeb była uzupełniona o dokumenty bezpośrednio wskazujące na zainteresowanie przedsiębiorców danym terenem inwestycyjnym np. zapytania, listy intencyjne, itp. </w:t>
      </w:r>
    </w:p>
    <w:p w:rsidR="00D210FD" w:rsidRPr="00321481" w:rsidRDefault="00D210FD" w:rsidP="00321481">
      <w:pPr>
        <w:pStyle w:val="Akapitzlist"/>
        <w:numPr>
          <w:ilvl w:val="0"/>
          <w:numId w:val="40"/>
        </w:numPr>
        <w:jc w:val="both"/>
        <w:rPr>
          <w:rFonts w:asciiTheme="minorHAnsi" w:hAnsiTheme="minorHAnsi" w:cstheme="minorHAnsi"/>
          <w:b/>
          <w:sz w:val="24"/>
          <w:szCs w:val="24"/>
        </w:rPr>
      </w:pPr>
      <w:r w:rsidRPr="00321481">
        <w:rPr>
          <w:rFonts w:asciiTheme="minorHAnsi" w:hAnsiTheme="minorHAnsi" w:cstheme="minorHAnsi"/>
          <w:b/>
          <w:sz w:val="24"/>
          <w:szCs w:val="24"/>
        </w:rPr>
        <w:t xml:space="preserve"> </w:t>
      </w:r>
      <w:r w:rsidR="00B23928" w:rsidRPr="00321481">
        <w:rPr>
          <w:rFonts w:asciiTheme="minorHAnsi" w:hAnsiTheme="minorHAnsi" w:cstheme="minorHAnsi"/>
          <w:b/>
          <w:sz w:val="24"/>
          <w:szCs w:val="24"/>
        </w:rPr>
        <w:t xml:space="preserve"> Infrastruktura (tereny inwestycyjne) powstała w okresie 2007-2013 musi </w:t>
      </w:r>
      <w:proofErr w:type="spellStart"/>
      <w:r w:rsidR="00B23928" w:rsidRPr="00321481">
        <w:rPr>
          <w:rFonts w:asciiTheme="minorHAnsi" w:hAnsiTheme="minorHAnsi" w:cstheme="minorHAnsi"/>
          <w:b/>
          <w:sz w:val="24"/>
          <w:szCs w:val="24"/>
        </w:rPr>
        <w:t>zostałć</w:t>
      </w:r>
      <w:proofErr w:type="spellEnd"/>
      <w:r w:rsidR="00B23928" w:rsidRPr="00321481">
        <w:rPr>
          <w:rFonts w:asciiTheme="minorHAnsi" w:hAnsiTheme="minorHAnsi" w:cstheme="minorHAnsi"/>
          <w:b/>
          <w:sz w:val="24"/>
          <w:szCs w:val="24"/>
        </w:rPr>
        <w:t xml:space="preserve"> w pełni zagospodarowana na danym terenie. </w:t>
      </w:r>
    </w:p>
    <w:p w:rsidR="00B23928" w:rsidRPr="00246113" w:rsidRDefault="00B23928" w:rsidP="00246113">
      <w:pPr>
        <w:spacing w:after="0"/>
        <w:jc w:val="both"/>
        <w:rPr>
          <w:rFonts w:asciiTheme="minorHAnsi" w:hAnsiTheme="minorHAnsi" w:cstheme="minorHAnsi"/>
          <w:sz w:val="24"/>
          <w:szCs w:val="24"/>
        </w:rPr>
      </w:pPr>
      <w:r w:rsidRPr="00246113">
        <w:rPr>
          <w:rFonts w:asciiTheme="minorHAnsi" w:hAnsiTheme="minorHAnsi" w:cstheme="minorHAnsi"/>
          <w:sz w:val="24"/>
          <w:szCs w:val="24"/>
        </w:rPr>
        <w:t xml:space="preserve">W przypadku projektów przewidujących tworzenie nowych terenów inwestycyjnych w ramach działania 2.2 SZOOP RPOWŚ 2014-2020 należy sporządzić i przedstawić analizę świadczącą o całkowitym wykorzystaniu przez wnioskodawcę dotychczas dostępnej na jego terenie infrastruktury. Analiza powinna uwzględniać opis infrastruktury, jej wielkość, sposób wykorzystania. Dodatkowo wnioskodawca powinien przedstawić dokumenty potwierdzające pełne wykorzystanie istniejącej infrastruktury. Dokumentami takimi mogą być </w:t>
      </w:r>
      <w:r w:rsidR="00246113">
        <w:rPr>
          <w:rFonts w:asciiTheme="minorHAnsi" w:hAnsiTheme="minorHAnsi" w:cstheme="minorHAnsi"/>
          <w:sz w:val="24"/>
          <w:szCs w:val="24"/>
        </w:rPr>
        <w:br/>
      </w:r>
      <w:r w:rsidRPr="00246113">
        <w:rPr>
          <w:rFonts w:asciiTheme="minorHAnsi" w:hAnsiTheme="minorHAnsi" w:cstheme="minorHAnsi"/>
          <w:sz w:val="24"/>
          <w:szCs w:val="24"/>
        </w:rPr>
        <w:t xml:space="preserve">w szczególności umowy sprzedaży lub dzierżawy danego terenu/obiektu zawarte z przedsiębiorcami. </w:t>
      </w:r>
    </w:p>
    <w:p w:rsidR="00D210FD" w:rsidRDefault="00D210FD" w:rsidP="00246113">
      <w:pPr>
        <w:spacing w:after="0"/>
        <w:jc w:val="both"/>
        <w:rPr>
          <w:rFonts w:asciiTheme="minorHAnsi" w:hAnsiTheme="minorHAnsi" w:cstheme="minorHAnsi"/>
          <w:sz w:val="24"/>
          <w:szCs w:val="24"/>
        </w:rPr>
      </w:pPr>
    </w:p>
    <w:p w:rsidR="00D210FD" w:rsidRPr="00321481" w:rsidRDefault="00D210FD" w:rsidP="00321481">
      <w:pPr>
        <w:pStyle w:val="Akapitzlist"/>
        <w:numPr>
          <w:ilvl w:val="0"/>
          <w:numId w:val="40"/>
        </w:numPr>
        <w:jc w:val="both"/>
        <w:rPr>
          <w:rFonts w:asciiTheme="minorHAnsi" w:hAnsiTheme="minorHAnsi" w:cstheme="minorHAnsi"/>
          <w:b/>
          <w:sz w:val="24"/>
          <w:szCs w:val="24"/>
        </w:rPr>
      </w:pPr>
      <w:r w:rsidRPr="00321481">
        <w:rPr>
          <w:rFonts w:asciiTheme="minorHAnsi" w:hAnsiTheme="minorHAnsi" w:cstheme="minorHAnsi"/>
          <w:b/>
          <w:sz w:val="24"/>
          <w:szCs w:val="24"/>
        </w:rPr>
        <w:t xml:space="preserve"> </w:t>
      </w:r>
      <w:r w:rsidR="00F34D01" w:rsidRPr="00321481">
        <w:rPr>
          <w:rFonts w:asciiTheme="minorHAnsi" w:hAnsiTheme="minorHAnsi" w:cstheme="minorHAnsi"/>
          <w:b/>
          <w:sz w:val="24"/>
          <w:szCs w:val="24"/>
        </w:rPr>
        <w:t>Wnioskodawca winien zadeklarować osiągnięcie wskaźnika rezultatu mającego na celu monitorowanie wykorzystania/zajęcia terenu inwestycyjnego</w:t>
      </w:r>
    </w:p>
    <w:p w:rsidR="007806C7" w:rsidRPr="00C7032E" w:rsidRDefault="00F34D01" w:rsidP="007806C7">
      <w:pPr>
        <w:pStyle w:val="Default"/>
        <w:jc w:val="both"/>
        <w:rPr>
          <w:rFonts w:asciiTheme="minorHAnsi" w:hAnsiTheme="minorHAnsi" w:cstheme="minorHAnsi"/>
          <w:color w:val="auto"/>
        </w:rPr>
      </w:pPr>
      <w:r w:rsidRPr="00C7032E">
        <w:rPr>
          <w:rFonts w:asciiTheme="minorHAnsi" w:hAnsiTheme="minorHAnsi" w:cstheme="minorHAnsi"/>
          <w:color w:val="auto"/>
        </w:rPr>
        <w:t xml:space="preserve">Weryfikacja kryterium następuje na podstawie informacji (deklaracji wraz z uzasadnieniem) zawartych we wniosku o dofinansowanie (ujęcie adekwatnego wskaźnika rezultatu dotyczącego zajęcia/wykorzystania przedmiotowego terenu inwestycyjnego, dającego możliwość późniejszego monitorowania). </w:t>
      </w:r>
      <w:r w:rsidRPr="00C7032E">
        <w:rPr>
          <w:rFonts w:asciiTheme="minorHAnsi" w:hAnsiTheme="minorHAnsi" w:cstheme="minorHAnsi"/>
          <w:b/>
          <w:color w:val="auto"/>
        </w:rPr>
        <w:t>Wartość wskaźnika musi zostać osiągnięta na koniec okresu kwalifikowalności)</w:t>
      </w:r>
      <w:r w:rsidR="00DA533B" w:rsidRPr="00C7032E">
        <w:rPr>
          <w:rFonts w:asciiTheme="minorHAnsi" w:hAnsiTheme="minorHAnsi" w:cstheme="minorHAnsi"/>
          <w:color w:val="auto"/>
        </w:rPr>
        <w:t xml:space="preserve">. </w:t>
      </w:r>
    </w:p>
    <w:p w:rsidR="00DA533B" w:rsidRDefault="007806C7" w:rsidP="007806C7">
      <w:pPr>
        <w:pStyle w:val="Default"/>
        <w:jc w:val="both"/>
        <w:rPr>
          <w:rFonts w:asciiTheme="minorHAnsi" w:hAnsiTheme="minorHAnsi" w:cstheme="minorHAnsi"/>
        </w:rPr>
      </w:pPr>
      <w:r>
        <w:rPr>
          <w:rFonts w:asciiTheme="minorHAnsi" w:hAnsiTheme="minorHAnsi" w:cstheme="minorHAnsi"/>
        </w:rPr>
        <w:t>W ramach</w:t>
      </w:r>
      <w:r w:rsidR="00DA533B" w:rsidRPr="00246113">
        <w:rPr>
          <w:rFonts w:asciiTheme="minorHAnsi" w:hAnsiTheme="minorHAnsi" w:cstheme="minorHAnsi"/>
        </w:rPr>
        <w:t xml:space="preserve"> Działania 2.2</w:t>
      </w:r>
      <w:r w:rsidR="00246113">
        <w:rPr>
          <w:rFonts w:asciiTheme="minorHAnsi" w:hAnsiTheme="minorHAnsi" w:cstheme="minorHAnsi"/>
        </w:rPr>
        <w:t xml:space="preserve"> </w:t>
      </w:r>
      <w:r w:rsidR="00DA533B" w:rsidRPr="00246113">
        <w:rPr>
          <w:rFonts w:asciiTheme="minorHAnsi" w:hAnsiTheme="minorHAnsi" w:cstheme="minorHAnsi"/>
        </w:rPr>
        <w:t xml:space="preserve">Wnioskodawca </w:t>
      </w:r>
      <w:r w:rsidR="00246113">
        <w:rPr>
          <w:rFonts w:asciiTheme="minorHAnsi" w:hAnsiTheme="minorHAnsi" w:cstheme="minorHAnsi"/>
        </w:rPr>
        <w:t xml:space="preserve">wybiera </w:t>
      </w:r>
      <w:r w:rsidR="00DA533B" w:rsidRPr="00246113">
        <w:rPr>
          <w:rFonts w:asciiTheme="minorHAnsi" w:hAnsiTheme="minorHAnsi" w:cstheme="minorHAnsi"/>
        </w:rPr>
        <w:t xml:space="preserve">wskaźnik produktu </w:t>
      </w:r>
      <w:r w:rsidR="00DA533B" w:rsidRPr="00246113">
        <w:rPr>
          <w:rFonts w:asciiTheme="minorHAnsi" w:hAnsiTheme="minorHAnsi" w:cstheme="minorHAnsi"/>
          <w:i/>
          <w:iCs/>
        </w:rPr>
        <w:t xml:space="preserve">Powierzchnia przygotowanych terenów inwestycyjnych </w:t>
      </w:r>
      <w:r w:rsidR="00DA533B" w:rsidRPr="00246113">
        <w:rPr>
          <w:rFonts w:asciiTheme="minorHAnsi" w:hAnsiTheme="minorHAnsi" w:cstheme="minorHAnsi"/>
        </w:rPr>
        <w:t xml:space="preserve">oraz wskaźnika rezultatu </w:t>
      </w:r>
      <w:r w:rsidR="00DA533B" w:rsidRPr="00246113">
        <w:rPr>
          <w:rFonts w:asciiTheme="minorHAnsi" w:hAnsiTheme="minorHAnsi" w:cstheme="minorHAnsi"/>
          <w:i/>
          <w:iCs/>
        </w:rPr>
        <w:t xml:space="preserve">Liczba inwestycji zlokalizowanych na przygotowanych terenach inwestycyjnych. </w:t>
      </w:r>
      <w:r w:rsidR="00DA533B" w:rsidRPr="00246113">
        <w:rPr>
          <w:rFonts w:asciiTheme="minorHAnsi" w:hAnsiTheme="minorHAnsi" w:cstheme="minorHAnsi"/>
        </w:rPr>
        <w:t xml:space="preserve">Powyższe wskaźniki mają na celu monitorowanie postępu rzeczowego inwestycji. Wskaźnik produktu określa powierzchnię jaka została zagospodarowana w ramach projektu Wnioskodawcy, natomiast wskaźnik rezultatu wskazuje liczbę inwestycji, które zostaną przeprowadzone na przygotowanym terenie. Powyższe oznacza, iż oba wskaźniki są ze sobą nierozerwalnie połączone. Wnioskodawca określając powierzchnię przygotowanego terenu (ha) musi mieć świadomość, iż liczba inwestycji zlokalizowanych na tym terenie będzie obejmować całą wskazaną przez Wnioskodawcę powierzchnię utworzonego w ramach projektu terenu. </w:t>
      </w:r>
    </w:p>
    <w:p w:rsidR="00246113" w:rsidRPr="00C7032E" w:rsidRDefault="00246113" w:rsidP="00246113">
      <w:pPr>
        <w:spacing w:after="0" w:line="240" w:lineRule="auto"/>
        <w:jc w:val="both"/>
        <w:rPr>
          <w:rFonts w:asciiTheme="minorHAnsi" w:eastAsia="Times New Roman" w:hAnsiTheme="minorHAnsi" w:cstheme="minorHAnsi"/>
          <w:i/>
          <w:sz w:val="24"/>
          <w:szCs w:val="24"/>
          <w:lang w:eastAsia="pl-PL"/>
        </w:rPr>
      </w:pPr>
      <w:r w:rsidRPr="00C7032E">
        <w:rPr>
          <w:rFonts w:cs="Calibri"/>
          <w:color w:val="000000"/>
          <w:sz w:val="24"/>
          <w:szCs w:val="24"/>
          <w:lang w:eastAsia="pl-PL"/>
        </w:rPr>
        <w:t xml:space="preserve">Przeprowadzenie analizy zapotrzebowania przedsiębiorstw na tereny inwestycyjne, pomoże Wnioskodawcy właściwie oszacować wartość wskaźnika </w:t>
      </w:r>
      <w:r w:rsidRPr="00C7032E">
        <w:rPr>
          <w:rFonts w:cs="Calibri"/>
          <w:i/>
          <w:iCs/>
          <w:color w:val="000000"/>
          <w:sz w:val="24"/>
          <w:szCs w:val="24"/>
          <w:lang w:eastAsia="pl-PL"/>
        </w:rPr>
        <w:t>Liczba inwestycji zlokalizowanych na przygotowanych terenach inwestycyjnych</w:t>
      </w:r>
      <w:r w:rsidRPr="00C7032E">
        <w:rPr>
          <w:rFonts w:cs="Calibri"/>
          <w:color w:val="000000"/>
          <w:sz w:val="24"/>
          <w:szCs w:val="24"/>
          <w:lang w:eastAsia="pl-PL"/>
        </w:rPr>
        <w:t>, który określa stopień wykorzystania przygotowanego w ramach projektu terenu inwestycyjnego.</w:t>
      </w:r>
    </w:p>
    <w:p w:rsidR="00D210FD" w:rsidRPr="00321481" w:rsidRDefault="00D210FD" w:rsidP="00321481">
      <w:pPr>
        <w:pStyle w:val="Akapitzlist"/>
        <w:numPr>
          <w:ilvl w:val="0"/>
          <w:numId w:val="40"/>
        </w:numPr>
        <w:spacing w:before="120"/>
        <w:jc w:val="both"/>
        <w:rPr>
          <w:b/>
          <w:sz w:val="24"/>
          <w:szCs w:val="24"/>
        </w:rPr>
      </w:pPr>
      <w:r w:rsidRPr="00321481">
        <w:rPr>
          <w:b/>
          <w:sz w:val="24"/>
          <w:szCs w:val="24"/>
        </w:rPr>
        <w:t xml:space="preserve"> </w:t>
      </w:r>
      <w:r w:rsidR="00F34D01" w:rsidRPr="00321481">
        <w:rPr>
          <w:b/>
          <w:sz w:val="24"/>
          <w:szCs w:val="24"/>
        </w:rPr>
        <w:t>Wnioskodawca powinien wyraźnie</w:t>
      </w:r>
      <w:r w:rsidR="00F34D01" w:rsidRPr="00321481">
        <w:rPr>
          <w:b/>
          <w:sz w:val="23"/>
          <w:szCs w:val="23"/>
        </w:rPr>
        <w:t xml:space="preserve"> </w:t>
      </w:r>
      <w:r w:rsidR="00F34D01" w:rsidRPr="00321481">
        <w:rPr>
          <w:b/>
          <w:sz w:val="24"/>
          <w:szCs w:val="24"/>
        </w:rPr>
        <w:t>zadeklarować, że utworzone tereny inwestycyjne zostaną przeznaczone pod inwestycje realizowane przez małe (w tym mikro) lub średnie przedsiębiorstwa</w:t>
      </w:r>
    </w:p>
    <w:p w:rsidR="00F34D01" w:rsidRDefault="00F34D01" w:rsidP="00B02CF4">
      <w:pPr>
        <w:jc w:val="both"/>
        <w:rPr>
          <w:sz w:val="23"/>
          <w:szCs w:val="23"/>
        </w:rPr>
      </w:pPr>
      <w:r w:rsidRPr="00F34D01">
        <w:rPr>
          <w:sz w:val="23"/>
          <w:szCs w:val="23"/>
        </w:rPr>
        <w:lastRenderedPageBreak/>
        <w:t xml:space="preserve">Zgodnie z zapisami RPO WŚ 2014-2020 wykorzystanie/zasiedlenie całości lub części przygotowanych terenów inwestycyjnych /parków biznesowych przez duże przedsiębiorstwa będzie skutkować proporcjonalnym zmniejszeniem kwoty dofinansowania na poziomie projektu. </w:t>
      </w:r>
    </w:p>
    <w:p w:rsidR="00A1039E" w:rsidRPr="00321481" w:rsidRDefault="00B02CF4" w:rsidP="00321481">
      <w:pPr>
        <w:pStyle w:val="Akapitzlist"/>
        <w:numPr>
          <w:ilvl w:val="0"/>
          <w:numId w:val="40"/>
        </w:numPr>
        <w:jc w:val="both"/>
        <w:rPr>
          <w:b/>
        </w:rPr>
      </w:pPr>
      <w:r w:rsidRPr="00321481">
        <w:rPr>
          <w:b/>
        </w:rPr>
        <w:t xml:space="preserve"> </w:t>
      </w:r>
      <w:r w:rsidR="00A1039E" w:rsidRPr="00321481">
        <w:rPr>
          <w:b/>
          <w:sz w:val="24"/>
          <w:szCs w:val="24"/>
        </w:rPr>
        <w:t>Wydatki na wewnętrzną infrastrukturę komunikacyjną mogą być jedynie uzupełniającym elementem projektu dotyczącego kompleksowego przygotowania terenu inwestycyjnego (stanowią mniejszą część budżetu projektu).</w:t>
      </w:r>
    </w:p>
    <w:p w:rsidR="00F34D01" w:rsidRDefault="00F34D01" w:rsidP="00FD1E58">
      <w:pPr>
        <w:jc w:val="both"/>
        <w:rPr>
          <w:sz w:val="24"/>
          <w:szCs w:val="24"/>
        </w:rPr>
      </w:pPr>
      <w:r>
        <w:rPr>
          <w:sz w:val="23"/>
          <w:szCs w:val="23"/>
        </w:rPr>
        <w:t>Należy zapewnić wyraźne wyodrębnienie kosztów utworzenia wewnętrznej infrastruktury komunikacyjnej, celem wykazania, że koszty te stanowią mniej niż 50% całkowitej wartości kosztów kwalifikowalnych projektu. Jednocześnie należy wykazać, że zapewniony został dostęp komunikacyjny do terenów inwestycyjnych.</w:t>
      </w:r>
    </w:p>
    <w:p w:rsidR="00A1039E" w:rsidRPr="00321481" w:rsidRDefault="00D210FD" w:rsidP="00321481">
      <w:pPr>
        <w:pStyle w:val="Akapitzlist"/>
        <w:numPr>
          <w:ilvl w:val="0"/>
          <w:numId w:val="40"/>
        </w:numPr>
        <w:rPr>
          <w:b/>
          <w:sz w:val="24"/>
          <w:szCs w:val="24"/>
        </w:rPr>
      </w:pPr>
      <w:r w:rsidRPr="00321481">
        <w:rPr>
          <w:b/>
          <w:sz w:val="24"/>
          <w:szCs w:val="24"/>
        </w:rPr>
        <w:t xml:space="preserve"> </w:t>
      </w:r>
      <w:r w:rsidR="00A1039E" w:rsidRPr="00321481">
        <w:rPr>
          <w:b/>
          <w:sz w:val="24"/>
          <w:szCs w:val="24"/>
        </w:rPr>
        <w:t>Czy zapewniono otwarcie komunikacyjne terenów inwestycyjnych?</w:t>
      </w:r>
    </w:p>
    <w:p w:rsidR="00A1039E" w:rsidRDefault="00A1039E" w:rsidP="00D210FD">
      <w:pPr>
        <w:rPr>
          <w:b/>
          <w:sz w:val="24"/>
          <w:szCs w:val="24"/>
        </w:rPr>
      </w:pPr>
      <w:r>
        <w:rPr>
          <w:b/>
          <w:sz w:val="24"/>
          <w:szCs w:val="24"/>
        </w:rPr>
        <w:t>N</w:t>
      </w:r>
      <w:r w:rsidRPr="00A1039E">
        <w:rPr>
          <w:b/>
          <w:sz w:val="24"/>
          <w:szCs w:val="24"/>
        </w:rPr>
        <w:t>ależy wykazać, że zapewniony został dostęp komunikacyjny do terenów inwestycyjnych (tzw. otwarcie komunikacyjne).</w:t>
      </w:r>
    </w:p>
    <w:p w:rsidR="00D210FD" w:rsidRPr="00321481" w:rsidRDefault="00A1039E" w:rsidP="00321481">
      <w:pPr>
        <w:pStyle w:val="Akapitzlist"/>
        <w:numPr>
          <w:ilvl w:val="0"/>
          <w:numId w:val="40"/>
        </w:numPr>
        <w:jc w:val="both"/>
        <w:rPr>
          <w:b/>
          <w:sz w:val="24"/>
          <w:szCs w:val="24"/>
        </w:rPr>
      </w:pPr>
      <w:r w:rsidRPr="00321481">
        <w:rPr>
          <w:b/>
          <w:sz w:val="24"/>
          <w:szCs w:val="24"/>
        </w:rPr>
        <w:t xml:space="preserve"> </w:t>
      </w:r>
      <w:r w:rsidR="00D210FD" w:rsidRPr="00321481">
        <w:rPr>
          <w:b/>
          <w:sz w:val="24"/>
          <w:szCs w:val="24"/>
        </w:rPr>
        <w:t>Projekt winien wykazywać zdolność do adaptacji do zmian klimatu i reagowania na ryzyko powodziowe? (jeśli dotyczy)</w:t>
      </w:r>
    </w:p>
    <w:p w:rsidR="00D210FD" w:rsidRPr="00B538DA" w:rsidRDefault="00D210FD" w:rsidP="00D210FD">
      <w:pPr>
        <w:jc w:val="both"/>
        <w:rPr>
          <w:sz w:val="24"/>
          <w:szCs w:val="24"/>
        </w:rPr>
      </w:pPr>
      <w:r w:rsidRPr="00564A3F">
        <w:rPr>
          <w:sz w:val="24"/>
          <w:szCs w:val="24"/>
        </w:rPr>
        <w:t xml:space="preserve">Należy wykazać zdolność do reagowania i adaptacji przedmiotowej infrastruktury do zmian klimatu </w:t>
      </w:r>
      <w:r w:rsidRPr="00564A3F">
        <w:rPr>
          <w:sz w:val="24"/>
          <w:szCs w:val="24"/>
        </w:rPr>
        <w:br/>
        <w:t xml:space="preserve">(w szczególności na  obszarze zagrożenia powodziowego). Np. wszelkie elementy zlokalizowane na obszarach zagrożonych powodzią (zgodnie z dyrektywą 2007/60/WE), powinny być zaprojektowane </w:t>
      </w:r>
      <w:r w:rsidRPr="00564A3F">
        <w:rPr>
          <w:sz w:val="24"/>
          <w:szCs w:val="24"/>
        </w:rPr>
        <w:br/>
        <w:t xml:space="preserve">w sposób, który uwzględnia to ryzyko. Dokumentacja projektowa powinna wyraźnie wskazywać czy inwestycja ma wpływ na ryzyko powodziowe, a jeśli tak, to, w jaki sposób zarządza się tym ryzykiem. </w:t>
      </w:r>
    </w:p>
    <w:p w:rsidR="00D210FD" w:rsidRPr="00694DB9" w:rsidRDefault="00D210FD" w:rsidP="00694DB9">
      <w:pPr>
        <w:pStyle w:val="podpunkt"/>
        <w:numPr>
          <w:ilvl w:val="1"/>
          <w:numId w:val="4"/>
        </w:numPr>
        <w:rPr>
          <w:rFonts w:asciiTheme="majorHAnsi" w:hAnsiTheme="majorHAnsi"/>
          <w:b/>
        </w:rPr>
      </w:pPr>
      <w:bookmarkStart w:id="38" w:name="_Toc514928909"/>
      <w:r w:rsidRPr="00694DB9">
        <w:rPr>
          <w:rFonts w:asciiTheme="majorHAnsi" w:hAnsiTheme="majorHAnsi"/>
          <w:b/>
        </w:rPr>
        <w:t>Kryteria punktowe</w:t>
      </w:r>
      <w:bookmarkEnd w:id="38"/>
    </w:p>
    <w:p w:rsidR="00496C95" w:rsidRPr="003C3411" w:rsidRDefault="00D210FD" w:rsidP="00496C95">
      <w:pPr>
        <w:jc w:val="both"/>
        <w:rPr>
          <w:sz w:val="24"/>
          <w:szCs w:val="24"/>
        </w:rPr>
      </w:pPr>
      <w:r w:rsidRPr="00B538DA">
        <w:rPr>
          <w:sz w:val="24"/>
          <w:szCs w:val="24"/>
        </w:rPr>
        <w:t xml:space="preserve">W przypadku kryteriów punktowych przyjętych obowiązującą uchwałą Komitetu Monitorującego RPOWŚ </w:t>
      </w:r>
      <w:r w:rsidR="003407F1">
        <w:rPr>
          <w:sz w:val="24"/>
          <w:szCs w:val="24"/>
        </w:rPr>
        <w:br/>
      </w:r>
      <w:r w:rsidRPr="00B538DA">
        <w:rPr>
          <w:sz w:val="24"/>
          <w:szCs w:val="24"/>
        </w:rPr>
        <w:t>na lata 2014-2020 w sprawie rozpatrzenia i zatwierdzenia kryteriów wyboru projektów współfinansowanych z Europejskiego</w:t>
      </w:r>
      <w:r w:rsidR="001B1F1A" w:rsidRPr="00B538DA">
        <w:rPr>
          <w:sz w:val="24"/>
          <w:szCs w:val="24"/>
        </w:rPr>
        <w:t xml:space="preserve"> Funduszu Rozwoju Regionalnego </w:t>
      </w:r>
      <w:r w:rsidRPr="00B538DA">
        <w:rPr>
          <w:sz w:val="24"/>
          <w:szCs w:val="24"/>
        </w:rPr>
        <w:t xml:space="preserve">w ramach Regionalnego Programu Operacyjnego Województwa Świętokrzyskiego na lata 2014-2020, tj. kryteriów merytorycznych dla Działania </w:t>
      </w:r>
      <w:r w:rsidR="00E87AFF">
        <w:rPr>
          <w:sz w:val="24"/>
          <w:szCs w:val="24"/>
        </w:rPr>
        <w:t>2.2</w:t>
      </w:r>
      <w:r w:rsidRPr="009333F9">
        <w:rPr>
          <w:sz w:val="24"/>
          <w:szCs w:val="24"/>
        </w:rPr>
        <w:t xml:space="preserve"> </w:t>
      </w:r>
      <w:r w:rsidR="009333F9" w:rsidRPr="009333F9">
        <w:rPr>
          <w:bCs/>
          <w:sz w:val="24"/>
          <w:szCs w:val="24"/>
        </w:rPr>
        <w:t>Tworzenie nowych terenów inwestycyjnych</w:t>
      </w:r>
      <w:r w:rsidR="00D96699" w:rsidRPr="00D96699">
        <w:rPr>
          <w:sz w:val="24"/>
          <w:szCs w:val="24"/>
        </w:rPr>
        <w:t xml:space="preserve">, </w:t>
      </w:r>
      <w:r w:rsidR="00B538DA" w:rsidRPr="00D96699">
        <w:rPr>
          <w:sz w:val="24"/>
          <w:szCs w:val="24"/>
        </w:rPr>
        <w:t>w</w:t>
      </w:r>
      <w:r w:rsidRPr="00D96699">
        <w:rPr>
          <w:sz w:val="24"/>
          <w:szCs w:val="24"/>
        </w:rPr>
        <w:t xml:space="preserve"> interesie Wnioskodawcy leży przywołanie w dokumentacji aplikacyjnej wszelkich</w:t>
      </w:r>
      <w:r w:rsidRPr="00B538DA">
        <w:rPr>
          <w:sz w:val="24"/>
          <w:szCs w:val="24"/>
        </w:rPr>
        <w:t xml:space="preserve"> danych, zwłaszcza liczbowych, które mogłyby wpłynąć na liczbę przyznanych punktów (informacje będą podlegać weryfikacji przez oceniających).</w:t>
      </w:r>
      <w:r w:rsidRPr="00D210FD">
        <w:rPr>
          <w:sz w:val="24"/>
          <w:szCs w:val="24"/>
        </w:rPr>
        <w:t xml:space="preserve"> </w:t>
      </w:r>
    </w:p>
    <w:p w:rsidR="003B3E82" w:rsidRPr="00FD1E58" w:rsidRDefault="0096366D" w:rsidP="00206135">
      <w:pPr>
        <w:pStyle w:val="Nagwek2"/>
        <w:numPr>
          <w:ilvl w:val="1"/>
          <w:numId w:val="4"/>
        </w:numPr>
        <w:rPr>
          <w:i w:val="0"/>
        </w:rPr>
      </w:pPr>
      <w:bookmarkStart w:id="39" w:name="_Toc514928910"/>
      <w:r w:rsidRPr="006335E2">
        <w:rPr>
          <w:i w:val="0"/>
        </w:rPr>
        <w:t>Projekty hybrydowe</w:t>
      </w:r>
      <w:bookmarkEnd w:id="39"/>
    </w:p>
    <w:p w:rsidR="00C53CDA" w:rsidRPr="00C53CDA" w:rsidRDefault="003B3E82" w:rsidP="00387B8B">
      <w:pPr>
        <w:pStyle w:val="Default"/>
        <w:spacing w:after="142" w:line="276" w:lineRule="auto"/>
        <w:jc w:val="both"/>
        <w:rPr>
          <w:rFonts w:ascii="Calibri" w:hAnsi="Calibri"/>
        </w:rPr>
      </w:pPr>
      <w:r w:rsidRPr="00C53CDA">
        <w:rPr>
          <w:rFonts w:ascii="Calibri" w:hAnsi="Calibri"/>
        </w:rPr>
        <w:t>W celu uwzględnienia specyfiki projektów hybrydowych, czyli łączących dofinansowanie UE z formułą partnerstwa publiczno-prywatnego (</w:t>
      </w:r>
      <w:proofErr w:type="spellStart"/>
      <w:r w:rsidRPr="00C53CDA">
        <w:rPr>
          <w:rFonts w:ascii="Calibri" w:hAnsi="Calibri"/>
        </w:rPr>
        <w:t>ppp</w:t>
      </w:r>
      <w:proofErr w:type="spellEnd"/>
      <w:r w:rsidRPr="00C53CDA">
        <w:rPr>
          <w:rFonts w:ascii="Calibri" w:hAnsi="Calibri"/>
        </w:rPr>
        <w:t>), w rozporządzeniu nr 1303/2013 zawarto odrębny rozdział poświęcony tej tematy</w:t>
      </w:r>
      <w:r w:rsidR="00C53CDA" w:rsidRPr="00C53CDA">
        <w:rPr>
          <w:rFonts w:ascii="Calibri" w:hAnsi="Calibri"/>
        </w:rPr>
        <w:t>ce</w:t>
      </w:r>
      <w:r w:rsidR="00C53CDA" w:rsidRPr="00C53CDA">
        <w:rPr>
          <w:rStyle w:val="Odwoanieprzypisudolnego"/>
          <w:rFonts w:ascii="Calibri" w:hAnsi="Calibri"/>
        </w:rPr>
        <w:footnoteReference w:id="24"/>
      </w:r>
      <w:r w:rsidR="00E75D0D">
        <w:rPr>
          <w:rFonts w:ascii="Calibri" w:hAnsi="Calibri"/>
        </w:rPr>
        <w:t>.</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Na gruncie prawa krajowego projektami hybrydowymi w rozumieniu ustawy wdrożeniowej mogą być nie tylko projekty realizowane w oparciu o </w:t>
      </w:r>
      <w:r w:rsidRPr="00C53CDA">
        <w:rPr>
          <w:rFonts w:ascii="Calibri" w:hAnsi="Calibri"/>
          <w:i/>
        </w:rPr>
        <w:t>ustawę z dnia 19 grudnia 2008 r. o partnerstwie publiczno-prywatnym</w:t>
      </w:r>
      <w:r w:rsidRPr="00C53CDA">
        <w:rPr>
          <w:rFonts w:ascii="Calibri" w:hAnsi="Calibri"/>
        </w:rPr>
        <w:t xml:space="preserve"> </w:t>
      </w:r>
      <w:r w:rsidRPr="00C53CDA">
        <w:rPr>
          <w:rFonts w:ascii="Calibri" w:hAnsi="Calibri"/>
        </w:rPr>
        <w:lastRenderedPageBreak/>
        <w:t xml:space="preserve">(Dz. U. z 2009 r. nr 19, poz. 100, z późn. zm.), ale również projekty, w których podstawą realizacji są inne akty prawne, m.in. </w:t>
      </w:r>
      <w:r w:rsidRPr="00C53CDA">
        <w:rPr>
          <w:rFonts w:ascii="Calibri" w:hAnsi="Calibri"/>
          <w:i/>
        </w:rPr>
        <w:t>ustawa z dnia 9 stycznia 2009r. o koncesji na roboty budowlane lub usługi</w:t>
      </w:r>
      <w:r w:rsidRPr="00C53CDA">
        <w:rPr>
          <w:rFonts w:ascii="Calibri" w:hAnsi="Calibri"/>
        </w:rPr>
        <w:t xml:space="preserve"> (Dz. U. z 2015 r., poz. 113), o ile wpisują się w definicję partnerstwa publiczno-prywatnego zawartą w art. 2 pkt 24) rozporządzenia nr 1303/2013. </w:t>
      </w:r>
    </w:p>
    <w:p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Szczególny charakter projektów hybrydowych został także wzięty pod uwagę w rozporządzeniu </w:t>
      </w:r>
      <w:r w:rsidR="003E4B13">
        <w:rPr>
          <w:rFonts w:ascii="Calibri" w:hAnsi="Calibri"/>
        </w:rPr>
        <w:br/>
      </w:r>
      <w:r w:rsidRPr="00C53CDA">
        <w:rPr>
          <w:rFonts w:ascii="Calibri" w:hAnsi="Calibri"/>
        </w:rPr>
        <w:t>nr 2015/207, jak również w rozporządzeniu nr 480/2014 dotyczącym m.in. kalkulacji dochodu w projektach generujących d</w:t>
      </w:r>
      <w:r w:rsidR="00E75D0D">
        <w:rPr>
          <w:rFonts w:ascii="Calibri" w:hAnsi="Calibri"/>
        </w:rPr>
        <w:t>ochód</w:t>
      </w:r>
      <w:r w:rsidRPr="00C53CDA">
        <w:rPr>
          <w:rFonts w:ascii="Calibri" w:hAnsi="Calibri"/>
        </w:rPr>
        <w:t xml:space="preserve">. </w:t>
      </w:r>
    </w:p>
    <w:p w:rsidR="002050AE" w:rsidRPr="006143F5" w:rsidRDefault="00E75D0D" w:rsidP="006143F5">
      <w:pPr>
        <w:pStyle w:val="Default"/>
        <w:spacing w:line="276" w:lineRule="auto"/>
        <w:jc w:val="both"/>
        <w:rPr>
          <w:rFonts w:ascii="Calibri" w:hAnsi="Calibri"/>
        </w:rPr>
      </w:pPr>
      <w:r>
        <w:rPr>
          <w:rFonts w:ascii="Calibri" w:hAnsi="Calibri"/>
        </w:rPr>
        <w:t xml:space="preserve">Szczegółowe informacje dotyczące przygotowania i realizacji projektów hybrydowych </w:t>
      </w:r>
      <w:r w:rsidR="00387B8B">
        <w:rPr>
          <w:rFonts w:ascii="Calibri" w:hAnsi="Calibri"/>
        </w:rPr>
        <w:t>(dot. m.in. różnych form/modeli łąc</w:t>
      </w:r>
      <w:r w:rsidR="00BB2120">
        <w:rPr>
          <w:rFonts w:ascii="Calibri" w:hAnsi="Calibri"/>
        </w:rPr>
        <w:t xml:space="preserve">zenia dotacji UE z formułą </w:t>
      </w:r>
      <w:proofErr w:type="spellStart"/>
      <w:r w:rsidR="00BB2120">
        <w:rPr>
          <w:rFonts w:ascii="Calibri" w:hAnsi="Calibri"/>
        </w:rPr>
        <w:t>ppp</w:t>
      </w:r>
      <w:proofErr w:type="spellEnd"/>
      <w:r w:rsidR="00BB2120">
        <w:rPr>
          <w:rFonts w:ascii="Calibri" w:hAnsi="Calibri"/>
        </w:rPr>
        <w:t xml:space="preserve">, </w:t>
      </w:r>
      <w:r w:rsidR="00387B8B">
        <w:rPr>
          <w:rFonts w:ascii="Calibri" w:hAnsi="Calibri"/>
        </w:rPr>
        <w:t xml:space="preserve">analizy finansowej, wejścia partnera prywatnego w prawa </w:t>
      </w:r>
      <w:r w:rsidR="00387B8B">
        <w:rPr>
          <w:rFonts w:ascii="Calibri" w:hAnsi="Calibri"/>
        </w:rPr>
        <w:br/>
        <w:t>i obowiązki beneficjenta, itd.) zostały zawarte w rozdziale 12</w:t>
      </w:r>
      <w:r w:rsidR="00387B8B" w:rsidRPr="00387B8B">
        <w:rPr>
          <w:rFonts w:ascii="Calibri" w:hAnsi="Calibri"/>
        </w:rPr>
        <w:t xml:space="preserve"> </w:t>
      </w:r>
      <w:r w:rsidR="00387B8B" w:rsidRPr="00387B8B">
        <w:rPr>
          <w:rFonts w:ascii="Calibri" w:hAnsi="Calibri"/>
          <w:i/>
        </w:rPr>
        <w:t>Wytycznych w zakresie zagadnień związanych z przygotowaniem projektów inwestycyjnych, w tym projektów generujących dochód i projektów hybrydowych na lata 2014-2020</w:t>
      </w:r>
      <w:r w:rsidR="00387B8B">
        <w:rPr>
          <w:rFonts w:ascii="Calibri" w:hAnsi="Calibri"/>
        </w:rPr>
        <w:t>.</w:t>
      </w:r>
    </w:p>
    <w:p w:rsidR="005F12CF" w:rsidRDefault="005F12CF" w:rsidP="005F12CF">
      <w:pPr>
        <w:pStyle w:val="Nagwek1"/>
        <w:numPr>
          <w:ilvl w:val="0"/>
          <w:numId w:val="4"/>
        </w:numPr>
      </w:pPr>
      <w:bookmarkStart w:id="40" w:name="_Toc514928911"/>
      <w:r>
        <w:t>Analiza oddziaływania na środowisko</w:t>
      </w:r>
      <w:bookmarkEnd w:id="40"/>
    </w:p>
    <w:p w:rsidR="006E4C4C" w:rsidRDefault="006E4C4C" w:rsidP="006E4C4C">
      <w:pPr>
        <w:pStyle w:val="Bezodstpw"/>
      </w:pPr>
    </w:p>
    <w:p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i poprawy jakości środowiska naturalnego wynika z przepisów prawa powszechnie obowiązującego. </w:t>
      </w:r>
    </w:p>
    <w:p w:rsidR="00A14BBB" w:rsidRPr="00A14BBB" w:rsidRDefault="00A14BBB" w:rsidP="00A14BBB">
      <w:pPr>
        <w:pStyle w:val="Nagwek2"/>
        <w:numPr>
          <w:ilvl w:val="1"/>
          <w:numId w:val="4"/>
        </w:numPr>
        <w:rPr>
          <w:i w:val="0"/>
        </w:rPr>
      </w:pPr>
      <w:bookmarkStart w:id="41" w:name="_Toc514928912"/>
      <w:r w:rsidRPr="00A2015A">
        <w:rPr>
          <w:i w:val="0"/>
        </w:rPr>
        <w:t>Ocena oddziaływania na środowisko</w:t>
      </w:r>
      <w:bookmarkEnd w:id="41"/>
      <w:r w:rsidRPr="00A2015A">
        <w:rPr>
          <w:i w:val="0"/>
        </w:rPr>
        <w:t xml:space="preserve"> </w:t>
      </w:r>
    </w:p>
    <w:p w:rsidR="00A14BBB" w:rsidRDefault="00A14BBB" w:rsidP="00A14BBB">
      <w:pPr>
        <w:pStyle w:val="Bezodstpw"/>
      </w:pPr>
    </w:p>
    <w:p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 xml:space="preserve">r. </w:t>
      </w:r>
      <w:proofErr w:type="spellStart"/>
      <w:r w:rsidR="00D55ECA" w:rsidRPr="00D55ECA">
        <w:rPr>
          <w:sz w:val="24"/>
          <w:szCs w:val="24"/>
        </w:rPr>
        <w:t>poz</w:t>
      </w:r>
      <w:proofErr w:type="spellEnd"/>
      <w:r w:rsidR="00D55ECA" w:rsidRPr="00D55ECA">
        <w:rPr>
          <w:sz w:val="24"/>
          <w:szCs w:val="24"/>
        </w:rPr>
        <w:t xml:space="preserve"> 1235 z późn.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 xml:space="preserve">(Dz. U. 2010 Nr 213 poz. 1397 z </w:t>
      </w:r>
      <w:proofErr w:type="spellStart"/>
      <w:r w:rsidRPr="003251C7">
        <w:rPr>
          <w:sz w:val="24"/>
          <w:szCs w:val="24"/>
        </w:rPr>
        <w:t>póżn</w:t>
      </w:r>
      <w:proofErr w:type="spellEnd"/>
      <w:r w:rsidRPr="003251C7">
        <w:rPr>
          <w:sz w:val="24"/>
          <w:szCs w:val="24"/>
        </w:rPr>
        <w:t>. zm.)</w:t>
      </w:r>
      <w:r w:rsidR="00A13BE0">
        <w:rPr>
          <w:i/>
          <w:sz w:val="24"/>
          <w:szCs w:val="24"/>
        </w:rPr>
        <w:t xml:space="preserve">. </w:t>
      </w:r>
    </w:p>
    <w:p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rsidR="00113E17" w:rsidRDefault="00113E17" w:rsidP="003251C7">
      <w:pPr>
        <w:pStyle w:val="Akapitzlist"/>
        <w:ind w:left="0"/>
        <w:jc w:val="both"/>
        <w:rPr>
          <w:sz w:val="24"/>
          <w:szCs w:val="24"/>
        </w:rPr>
      </w:pPr>
    </w:p>
    <w:p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z dnia 9 listopada 2010 r. w sprawie przedsięwzięć mogących znacząco oddziaływać na środowisko</w:t>
      </w:r>
      <w:r w:rsidR="00113E17">
        <w:rPr>
          <w:i/>
          <w:sz w:val="24"/>
          <w:szCs w:val="24"/>
        </w:rPr>
        <w:t xml:space="preserve">). </w:t>
      </w:r>
    </w:p>
    <w:p w:rsidR="00113E17" w:rsidRDefault="00113E17" w:rsidP="00113E17">
      <w:pPr>
        <w:pStyle w:val="Akapitzlist"/>
        <w:ind w:left="0"/>
        <w:jc w:val="both"/>
        <w:rPr>
          <w:i/>
          <w:sz w:val="24"/>
          <w:szCs w:val="24"/>
        </w:rPr>
      </w:pPr>
    </w:p>
    <w:p w:rsidR="0096366D"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rsidR="003C3411" w:rsidRDefault="003C3411" w:rsidP="00A14BBB">
      <w:pPr>
        <w:pStyle w:val="Akapitzlist"/>
        <w:ind w:left="0"/>
        <w:jc w:val="both"/>
        <w:rPr>
          <w:sz w:val="24"/>
          <w:szCs w:val="24"/>
        </w:rPr>
      </w:pPr>
    </w:p>
    <w:p w:rsidR="000F6A3D" w:rsidRPr="005520AB" w:rsidRDefault="000F6A3D" w:rsidP="000F6A3D">
      <w:pPr>
        <w:pStyle w:val="Nagwek2"/>
        <w:numPr>
          <w:ilvl w:val="1"/>
          <w:numId w:val="4"/>
        </w:numPr>
        <w:rPr>
          <w:i w:val="0"/>
        </w:rPr>
      </w:pPr>
      <w:bookmarkStart w:id="42" w:name="_Toc514928913"/>
      <w:bookmarkStart w:id="43" w:name="_Toc175029710"/>
      <w:bookmarkStart w:id="44" w:name="_Toc183823837"/>
      <w:bookmarkStart w:id="45" w:name="_Toc193878576"/>
      <w:r w:rsidRPr="005520AB">
        <w:rPr>
          <w:i w:val="0"/>
        </w:rPr>
        <w:t xml:space="preserve">Wpływ na </w:t>
      </w:r>
      <w:r w:rsidR="00554A9B">
        <w:rPr>
          <w:i w:val="0"/>
        </w:rPr>
        <w:t>obszary</w:t>
      </w:r>
      <w:r w:rsidRPr="005520AB">
        <w:rPr>
          <w:i w:val="0"/>
        </w:rPr>
        <w:t xml:space="preserve"> Natura 2000</w:t>
      </w:r>
      <w:bookmarkEnd w:id="42"/>
      <w:r w:rsidRPr="005520AB">
        <w:rPr>
          <w:i w:val="0"/>
        </w:rPr>
        <w:t xml:space="preserve"> </w:t>
      </w:r>
    </w:p>
    <w:p w:rsidR="005520AB" w:rsidRDefault="005520AB" w:rsidP="005520AB">
      <w:pPr>
        <w:pStyle w:val="Bezodstpw"/>
      </w:pPr>
    </w:p>
    <w:p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utworzenia  obszaru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rsidR="00AB2127" w:rsidRPr="00AB2127" w:rsidRDefault="006E4C4C" w:rsidP="006E4C4C">
      <w:pPr>
        <w:pStyle w:val="Nagwek2"/>
        <w:numPr>
          <w:ilvl w:val="1"/>
          <w:numId w:val="4"/>
        </w:numPr>
        <w:rPr>
          <w:i w:val="0"/>
        </w:rPr>
      </w:pPr>
      <w:r w:rsidRPr="00AB2127">
        <w:rPr>
          <w:i w:val="0"/>
        </w:rPr>
        <w:t xml:space="preserve"> </w:t>
      </w:r>
      <w:bookmarkStart w:id="46" w:name="_Toc514928914"/>
      <w:r w:rsidR="00AB2127" w:rsidRPr="00AB2127">
        <w:rPr>
          <w:i w:val="0"/>
        </w:rPr>
        <w:t xml:space="preserve">Przystosowanie do zmiany klimatu, łagodzenie zmiany klimatu oraz </w:t>
      </w:r>
      <w:r w:rsidR="00554A9B">
        <w:rPr>
          <w:i w:val="0"/>
        </w:rPr>
        <w:t>odporność na klęski żywiołowe</w:t>
      </w:r>
      <w:bookmarkEnd w:id="46"/>
    </w:p>
    <w:p w:rsidR="00AB2127" w:rsidRDefault="00AB2127" w:rsidP="00AB2127">
      <w:pPr>
        <w:pStyle w:val="Bezodstpw"/>
        <w:rPr>
          <w:lang w:eastAsia="pl-PL"/>
        </w:rPr>
      </w:pPr>
    </w:p>
    <w:p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5"/>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r w:rsidRPr="00473F9E">
        <w:rPr>
          <w:rFonts w:eastAsia="Times New Roman" w:cs="Arial"/>
          <w:sz w:val="24"/>
          <w:szCs w:val="24"/>
          <w:lang w:eastAsia="pl-PL"/>
        </w:rPr>
        <w:t xml:space="preserve">Tam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w:t>
      </w:r>
      <w:r w:rsidRPr="00473F9E">
        <w:rPr>
          <w:rFonts w:eastAsia="Times New Roman" w:cs="Arial"/>
          <w:sz w:val="24"/>
          <w:szCs w:val="24"/>
          <w:lang w:eastAsia="pl-PL"/>
        </w:rPr>
        <w:lastRenderedPageBreak/>
        <w:t xml:space="preserve">ograniczające ryzyko wpływu tego typu zjawisk na zachowanie stabilności i trwałości projektu. Rozwiązania te powinny dotyczyć zarówno etapu realizacji przedsięwzięcia, jak też dalszego utrzymania wybudowanej infrastruktury. </w:t>
      </w:r>
    </w:p>
    <w:p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 xml:space="preserve">a </w:t>
      </w:r>
      <w:proofErr w:type="spellStart"/>
      <w:r w:rsidR="003146D8" w:rsidRPr="00C07010">
        <w:rPr>
          <w:rFonts w:eastAsia="Times New Roman" w:cs="Arial"/>
          <w:sz w:val="24"/>
          <w:szCs w:val="24"/>
          <w:lang w:eastAsia="pl-PL"/>
        </w:rPr>
        <w:t>Hydroportalu</w:t>
      </w:r>
      <w:proofErr w:type="spellEnd"/>
      <w:r w:rsidR="003146D8" w:rsidRPr="00C07010">
        <w:rPr>
          <w:rFonts w:eastAsia="Times New Roman" w:cs="Arial"/>
          <w:sz w:val="24"/>
          <w:szCs w:val="24"/>
          <w:lang w:eastAsia="pl-PL"/>
        </w:rPr>
        <w:t xml:space="preserve"> (</w:t>
      </w:r>
      <w:hyperlink r:id="rId18"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43"/>
      <w:bookmarkEnd w:id="44"/>
      <w:bookmarkEnd w:id="45"/>
    </w:p>
    <w:p w:rsidR="0096366D" w:rsidRPr="00A2015A" w:rsidRDefault="000F6A3D" w:rsidP="006E4C4C">
      <w:pPr>
        <w:pStyle w:val="Nagwek2"/>
        <w:numPr>
          <w:ilvl w:val="1"/>
          <w:numId w:val="4"/>
        </w:numPr>
        <w:rPr>
          <w:i w:val="0"/>
        </w:rPr>
      </w:pPr>
      <w:bookmarkStart w:id="47" w:name="_Toc514928915"/>
      <w:r>
        <w:rPr>
          <w:i w:val="0"/>
        </w:rPr>
        <w:t>Wpływ</w:t>
      </w:r>
      <w:r w:rsidR="0096366D" w:rsidRPr="00A2015A">
        <w:rPr>
          <w:i w:val="0"/>
        </w:rPr>
        <w:t xml:space="preserve"> na efektywne i racjonalne wykorzystywanie zasobów naturalnych oraz stosowanie rozwiązań przyjaznych środowisku</w:t>
      </w:r>
      <w:bookmarkEnd w:id="47"/>
    </w:p>
    <w:p w:rsidR="006E4C4C" w:rsidRDefault="006E4C4C" w:rsidP="007F7064">
      <w:pPr>
        <w:pStyle w:val="Bezodstpw"/>
      </w:pPr>
    </w:p>
    <w:p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oraz</w:t>
      </w:r>
      <w:r w:rsidR="00E930D1">
        <w:rPr>
          <w:sz w:val="24"/>
          <w:szCs w:val="24"/>
        </w:rPr>
        <w:t>,</w:t>
      </w:r>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bookmarkStart w:id="48" w:name="_GoBack"/>
      <w:bookmarkEnd w:id="48"/>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rsidR="00F35422" w:rsidRDefault="00F35422" w:rsidP="00F35422">
      <w:pPr>
        <w:pStyle w:val="Nagwek1"/>
        <w:numPr>
          <w:ilvl w:val="0"/>
          <w:numId w:val="4"/>
        </w:numPr>
      </w:pPr>
      <w:bookmarkStart w:id="49" w:name="_Toc514928916"/>
      <w:r>
        <w:t>Promocja projektu</w:t>
      </w:r>
      <w:bookmarkEnd w:id="49"/>
    </w:p>
    <w:p w:rsidR="000B1483" w:rsidRDefault="000B1483" w:rsidP="000B1483">
      <w:pPr>
        <w:pStyle w:val="Bezodstpw"/>
      </w:pPr>
    </w:p>
    <w:p w:rsidR="005B2F0A" w:rsidRPr="00EB705B" w:rsidRDefault="00F35422" w:rsidP="008C5498">
      <w:pPr>
        <w:jc w:val="both"/>
        <w:rPr>
          <w:rFonts w:cs="Arial"/>
          <w:b/>
          <w:bCs/>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9" w:history="1">
        <w:r w:rsidR="0035042A" w:rsidRPr="008C5498">
          <w:rPr>
            <w:rStyle w:val="Hipercze"/>
            <w:rFonts w:eastAsia="Times New Roman" w:cs="Arial"/>
            <w:sz w:val="24"/>
            <w:szCs w:val="24"/>
            <w:lang w:eastAsia="pl-PL"/>
          </w:rPr>
          <w:t>http://www.mir.gov.pl/strony/zadania/fundusze-europejskie/wytyczne/wytyczne-na-lata-2014-2020/#</w:t>
        </w:r>
      </w:hyperlink>
      <w:r w:rsidR="0035042A" w:rsidRPr="008C5498">
        <w:rPr>
          <w:rFonts w:eastAsia="Times New Roman" w:cs="Arial"/>
          <w:i/>
          <w:sz w:val="24"/>
          <w:szCs w:val="24"/>
          <w:lang w:eastAsia="pl-PL"/>
        </w:rPr>
        <w:t xml:space="preserve"> </w:t>
      </w:r>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 xml:space="preserve">Podręcznikiem wnioskodawcy i beneficjenta programów polityki spójności 2014-2020 </w:t>
      </w:r>
      <w:r w:rsidR="006202C2">
        <w:rPr>
          <w:rFonts w:cs="Arial"/>
          <w:bCs/>
          <w:i/>
          <w:sz w:val="24"/>
          <w:szCs w:val="24"/>
          <w:lang w:eastAsia="pl-PL"/>
        </w:rPr>
        <w:br/>
      </w:r>
      <w:r w:rsidR="000B1483" w:rsidRPr="008C5498">
        <w:rPr>
          <w:rFonts w:cs="Arial"/>
          <w:bCs/>
          <w:i/>
          <w:sz w:val="24"/>
          <w:szCs w:val="24"/>
          <w:lang w:eastAsia="pl-PL"/>
        </w:rPr>
        <w:t>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20"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 </w:t>
      </w:r>
      <w:hyperlink r:id="rId21" w:history="1">
        <w:r w:rsidR="006202C2" w:rsidRPr="00DA28F0">
          <w:rPr>
            <w:rStyle w:val="Hipercze"/>
            <w:rFonts w:cs="Arial"/>
            <w:bCs/>
            <w:sz w:val="24"/>
            <w:szCs w:val="24"/>
            <w:lang w:eastAsia="pl-PL"/>
          </w:rPr>
          <w:t>https://www.funduszeeuropejskie.gov.pl/strony/ofunduszach/dokumenty/</w:t>
        </w:r>
        <w:r w:rsidR="006202C2" w:rsidRPr="00DA28F0">
          <w:rPr>
            <w:rStyle w:val="Hipercze"/>
            <w:rFonts w:cs="Arial"/>
            <w:bCs/>
            <w:sz w:val="24"/>
            <w:szCs w:val="24"/>
            <w:lang w:eastAsia="pl-PL"/>
          </w:rPr>
          <w:br/>
          <w:t>podrecznik-wnioskodawcy-i-beneficjenta-programow-polityki-spojnosci-2014-2020-w-zakresie-informacji-i-promocji/</w:t>
        </w:r>
      </w:hyperlink>
      <w:r w:rsidR="003E4B13">
        <w:rPr>
          <w:rFonts w:cs="Arial"/>
          <w:bCs/>
          <w:sz w:val="24"/>
          <w:szCs w:val="24"/>
          <w:lang w:eastAsia="pl-PL"/>
        </w:rPr>
        <w:t>.</w:t>
      </w:r>
      <w:r w:rsidR="00EB705B">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rsidR="005B2F0A" w:rsidRDefault="005B2F0A" w:rsidP="005B2F0A">
      <w:pPr>
        <w:pStyle w:val="Nagwek1"/>
        <w:numPr>
          <w:ilvl w:val="0"/>
          <w:numId w:val="4"/>
        </w:numPr>
      </w:pPr>
      <w:bookmarkStart w:id="50" w:name="_Toc514928917"/>
      <w:r>
        <w:t>Wnioski i podsumowanie</w:t>
      </w:r>
      <w:bookmarkEnd w:id="50"/>
    </w:p>
    <w:p w:rsidR="005B2F0A" w:rsidRDefault="005B2F0A" w:rsidP="005B2F0A">
      <w:pPr>
        <w:pStyle w:val="Bezodstpw"/>
      </w:pPr>
    </w:p>
    <w:p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rsidR="00CE4254" w:rsidRPr="003B0E8A" w:rsidRDefault="00CE4254" w:rsidP="003B0E8A">
      <w:pPr>
        <w:pStyle w:val="Bezodstpw"/>
        <w:spacing w:line="276" w:lineRule="auto"/>
        <w:jc w:val="both"/>
        <w:rPr>
          <w:sz w:val="24"/>
          <w:szCs w:val="24"/>
        </w:rPr>
      </w:pPr>
      <w:r w:rsidRPr="003B0E8A">
        <w:rPr>
          <w:sz w:val="24"/>
          <w:szCs w:val="24"/>
        </w:rPr>
        <w:lastRenderedPageBreak/>
        <w:t xml:space="preserve">b) wskaźników </w:t>
      </w:r>
      <w:r w:rsidR="0067722A">
        <w:rPr>
          <w:sz w:val="24"/>
          <w:szCs w:val="24"/>
        </w:rPr>
        <w:t>realizacji celów projektu,</w:t>
      </w:r>
    </w:p>
    <w:p w:rsidR="00CE4254" w:rsidRPr="003B0E8A" w:rsidRDefault="00CE4254" w:rsidP="003B0E8A">
      <w:pPr>
        <w:pStyle w:val="Bezodstpw"/>
        <w:spacing w:line="276" w:lineRule="auto"/>
        <w:jc w:val="both"/>
        <w:rPr>
          <w:sz w:val="24"/>
          <w:szCs w:val="24"/>
        </w:rPr>
      </w:pPr>
      <w:r w:rsidRPr="003B0E8A">
        <w:rPr>
          <w:sz w:val="24"/>
          <w:szCs w:val="24"/>
        </w:rPr>
        <w:t>c) instytucjonalnej i prawnej wykonalności</w:t>
      </w:r>
      <w:r w:rsidR="003B0E8A" w:rsidRPr="003B0E8A">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rsidR="006143F5" w:rsidRDefault="003B0E8A" w:rsidP="00837D2A">
      <w:pPr>
        <w:pStyle w:val="Bezodstpw"/>
        <w:spacing w:line="276" w:lineRule="auto"/>
        <w:jc w:val="both"/>
        <w:rPr>
          <w:sz w:val="24"/>
          <w:szCs w:val="24"/>
        </w:rPr>
      </w:pPr>
      <w:r w:rsidRPr="003B0E8A">
        <w:rPr>
          <w:sz w:val="24"/>
          <w:szCs w:val="24"/>
        </w:rPr>
        <w:t>g) kryteriów oceny</w:t>
      </w:r>
      <w:r w:rsidR="0067722A">
        <w:rPr>
          <w:sz w:val="24"/>
          <w:szCs w:val="24"/>
        </w:rPr>
        <w:t xml:space="preserve"> merytorycznej</w:t>
      </w:r>
      <w:r>
        <w:rPr>
          <w:sz w:val="24"/>
          <w:szCs w:val="24"/>
        </w:rPr>
        <w:t>.</w:t>
      </w:r>
    </w:p>
    <w:p w:rsidR="00147C54" w:rsidRDefault="00147C54" w:rsidP="00147C54">
      <w:pPr>
        <w:pStyle w:val="Nagwek1"/>
        <w:numPr>
          <w:ilvl w:val="0"/>
          <w:numId w:val="4"/>
        </w:numPr>
      </w:pPr>
      <w:bookmarkStart w:id="51" w:name="_Toc433636337"/>
      <w:bookmarkStart w:id="52" w:name="_Toc514928918"/>
      <w:r>
        <w:t>Oświadczenie</w:t>
      </w:r>
      <w:bookmarkEnd w:id="51"/>
      <w:bookmarkEnd w:id="52"/>
    </w:p>
    <w:p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8"/>
      </w:tblGrid>
      <w:tr w:rsidR="00147C54" w:rsidRPr="004B283C" w:rsidTr="00147C54">
        <w:trPr>
          <w:trHeight w:val="434"/>
        </w:trPr>
        <w:tc>
          <w:tcPr>
            <w:tcW w:w="10608" w:type="dxa"/>
            <w:shd w:val="clear" w:color="auto" w:fill="BFBFBF"/>
            <w:noWrap/>
            <w:vAlign w:val="center"/>
            <w:hideMark/>
          </w:tcPr>
          <w:p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rsidTr="00C46495">
        <w:trPr>
          <w:trHeight w:val="1290"/>
        </w:trPr>
        <w:tc>
          <w:tcPr>
            <w:tcW w:w="10608" w:type="dxa"/>
            <w:shd w:val="clear" w:color="auto" w:fill="auto"/>
            <w:vAlign w:val="center"/>
            <w:hideMark/>
          </w:tcPr>
          <w:p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rsidR="00147C54" w:rsidRPr="004B283C" w:rsidRDefault="00147C54" w:rsidP="00C46495">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świadomy, </w:t>
            </w:r>
            <w:r w:rsidRPr="004B283C">
              <w:rPr>
                <w:rFonts w:eastAsia="Times New Roman" w:cs="Arial"/>
                <w:sz w:val="20"/>
                <w:szCs w:val="20"/>
                <w:lang w:eastAsia="pl-PL"/>
              </w:rPr>
              <w:t xml:space="preserve"> </w:t>
            </w:r>
            <w:r>
              <w:rPr>
                <w:rFonts w:eastAsia="Times New Roman" w:cs="Arial"/>
                <w:sz w:val="20"/>
                <w:szCs w:val="20"/>
                <w:lang w:eastAsia="pl-PL"/>
              </w:rPr>
              <w:t xml:space="preserve">iż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143 i nast. Rozporządzenia Parlamentu Europejskiego i Rady (UE) nr 1303/2013 z dnia 17 grudnia 2013 r. (Dz. Urz. UE L 347 z 20.12.2013, str. 320, z późn. zm.)</w:t>
            </w:r>
            <w:r w:rsidR="00473F9E">
              <w:rPr>
                <w:rFonts w:eastAsia="Times New Roman" w:cs="Arial"/>
                <w:sz w:val="20"/>
                <w:szCs w:val="20"/>
                <w:lang w:eastAsia="pl-PL"/>
              </w:rPr>
              <w:t>.</w:t>
            </w:r>
          </w:p>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465"/>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rsidTr="00C46495">
        <w:trPr>
          <w:trHeight w:val="412"/>
        </w:trPr>
        <w:tc>
          <w:tcPr>
            <w:tcW w:w="10608" w:type="dxa"/>
            <w:shd w:val="clear" w:color="auto" w:fill="BFBFBF"/>
            <w:noWrap/>
            <w:vAlign w:val="center"/>
            <w:hideMark/>
          </w:tcPr>
          <w:p w:rsidR="00147C54" w:rsidRPr="004B283C" w:rsidRDefault="00147C54" w:rsidP="00C46495">
            <w:pPr>
              <w:spacing w:after="0" w:line="240" w:lineRule="auto"/>
              <w:rPr>
                <w:rFonts w:eastAsia="Times New Roman" w:cs="Arial"/>
                <w:sz w:val="20"/>
                <w:szCs w:val="20"/>
                <w:lang w:eastAsia="pl-PL"/>
              </w:rPr>
            </w:pP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rsidTr="00C46495">
        <w:trPr>
          <w:trHeight w:val="900"/>
        </w:trPr>
        <w:tc>
          <w:tcPr>
            <w:tcW w:w="10608" w:type="dxa"/>
            <w:shd w:val="clear" w:color="auto" w:fill="auto"/>
            <w:noWrap/>
            <w:vAlign w:val="center"/>
            <w:hideMark/>
          </w:tcPr>
          <w:p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rsidR="00147C54" w:rsidRPr="003B0E8A" w:rsidRDefault="00147C54" w:rsidP="00837D2A">
      <w:pPr>
        <w:pStyle w:val="Bezodstpw"/>
        <w:spacing w:line="276" w:lineRule="auto"/>
        <w:jc w:val="both"/>
        <w:rPr>
          <w:sz w:val="24"/>
          <w:szCs w:val="24"/>
        </w:rPr>
      </w:pPr>
    </w:p>
    <w:sectPr w:rsidR="00147C54" w:rsidRPr="003B0E8A" w:rsidSect="00701918">
      <w:footerReference w:type="default" r:id="rId22"/>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94F" w:rsidRDefault="006D794F" w:rsidP="00701918">
      <w:pPr>
        <w:spacing w:after="0" w:line="240" w:lineRule="auto"/>
      </w:pPr>
      <w:r>
        <w:separator/>
      </w:r>
    </w:p>
  </w:endnote>
  <w:endnote w:type="continuationSeparator" w:id="0">
    <w:p w:rsidR="006D794F" w:rsidRDefault="006D794F"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55" w:rsidRDefault="00D61255">
    <w:pPr>
      <w:pStyle w:val="Stopka"/>
      <w:jc w:val="right"/>
    </w:pPr>
    <w:r>
      <w:fldChar w:fldCharType="begin"/>
    </w:r>
    <w:r>
      <w:instrText xml:space="preserve"> PAGE   \* MERGEFORMAT </w:instrText>
    </w:r>
    <w:r>
      <w:fldChar w:fldCharType="separate"/>
    </w:r>
    <w:r w:rsidR="002403FD">
      <w:rPr>
        <w:noProof/>
      </w:rPr>
      <w:t>52</w:t>
    </w:r>
    <w:r>
      <w:rPr>
        <w:noProof/>
      </w:rPr>
      <w:fldChar w:fldCharType="end"/>
    </w:r>
  </w:p>
  <w:p w:rsidR="00D61255" w:rsidRDefault="00D612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94F" w:rsidRDefault="006D794F" w:rsidP="00701918">
      <w:pPr>
        <w:spacing w:after="0" w:line="240" w:lineRule="auto"/>
      </w:pPr>
      <w:r>
        <w:separator/>
      </w:r>
    </w:p>
  </w:footnote>
  <w:footnote w:type="continuationSeparator" w:id="0">
    <w:p w:rsidR="006D794F" w:rsidRDefault="006D794F" w:rsidP="00701918">
      <w:pPr>
        <w:spacing w:after="0" w:line="240" w:lineRule="auto"/>
      </w:pPr>
      <w:r>
        <w:continuationSeparator/>
      </w:r>
    </w:p>
  </w:footnote>
  <w:footnote w:id="1">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w:t>
      </w:r>
      <w:proofErr w:type="spellStart"/>
      <w:r w:rsidRPr="0077546F">
        <w:rPr>
          <w:sz w:val="20"/>
          <w:szCs w:val="20"/>
        </w:rPr>
        <w:t>Euratom</w:t>
      </w:r>
      <w:proofErr w:type="spellEnd"/>
      <w:r w:rsidRPr="0077546F">
        <w:rPr>
          <w:sz w:val="20"/>
          <w:szCs w:val="20"/>
        </w:rPr>
        <w:t xml:space="preserve">) nr 1605/2002, terminem tym jest 15 lutego 2025 r. W wyjątkowych wypadkach KE może na wniosek państwa członkowskiego wydłużyć ten termin do dnia 1 marca 2025 r.  </w:t>
      </w:r>
    </w:p>
  </w:footnote>
  <w:footnote w:id="2">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D61255" w:rsidRDefault="00D61255">
      <w:pPr>
        <w:pStyle w:val="Tekstprzypisudolnego"/>
      </w:pPr>
      <w:r>
        <w:rPr>
          <w:rStyle w:val="Odwoanieprzypisudolnego"/>
        </w:rPr>
        <w:footnoteRef/>
      </w:r>
      <w:r>
        <w:t xml:space="preserve"> Patrz przypis 2</w:t>
      </w:r>
    </w:p>
  </w:footnote>
  <w:footnote w:id="8">
    <w:p w:rsidR="00D61255" w:rsidRDefault="00D61255">
      <w:pPr>
        <w:pStyle w:val="Tekstprzypisudolnego"/>
      </w:pPr>
      <w:r>
        <w:rPr>
          <w:rStyle w:val="Odwoanieprzypisudolnego"/>
        </w:rPr>
        <w:footnoteRef/>
      </w:r>
      <w:r>
        <w:t xml:space="preserve"> Patrz przypis 1</w:t>
      </w:r>
    </w:p>
  </w:footnote>
  <w:footnote w:id="9">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w:t>
      </w:r>
      <w:proofErr w:type="spellStart"/>
      <w:r w:rsidRPr="0077546F">
        <w:rPr>
          <w:sz w:val="20"/>
          <w:szCs w:val="20"/>
        </w:rPr>
        <w:t>Exemption</w:t>
      </w:r>
      <w:proofErr w:type="spellEnd"/>
      <w:r w:rsidRPr="0077546F">
        <w:rPr>
          <w:sz w:val="20"/>
          <w:szCs w:val="20"/>
        </w:rPr>
        <w:t xml:space="preserve"> </w:t>
      </w:r>
      <w:proofErr w:type="spellStart"/>
      <w:r w:rsidRPr="0077546F">
        <w:rPr>
          <w:sz w:val="20"/>
          <w:szCs w:val="20"/>
        </w:rPr>
        <w:t>Regulation</w:t>
      </w:r>
      <w:proofErr w:type="spellEnd"/>
      <w:r w:rsidRPr="0077546F">
        <w:rPr>
          <w:sz w:val="20"/>
          <w:szCs w:val="20"/>
        </w:rPr>
        <w:t xml:space="preserve"> – ogólne rozporządzenie w sprawie wyłączeń blokowych.</w:t>
      </w:r>
    </w:p>
  </w:footnote>
  <w:footnote w:id="10">
    <w:p w:rsidR="00D61255" w:rsidRPr="0077546F" w:rsidRDefault="00D61255"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proofErr w:type="spellStart"/>
      <w:r w:rsidRPr="0077546F">
        <w:rPr>
          <w:rFonts w:cs="Calibri,Italic"/>
          <w:i/>
          <w:iCs/>
          <w:sz w:val="20"/>
          <w:szCs w:val="20"/>
        </w:rPr>
        <w:t>Ambulanz</w:t>
      </w:r>
      <w:proofErr w:type="spellEnd"/>
      <w:r w:rsidRPr="0077546F">
        <w:rPr>
          <w:rFonts w:cs="Calibri,Italic"/>
          <w:i/>
          <w:iCs/>
          <w:sz w:val="20"/>
          <w:szCs w:val="20"/>
        </w:rPr>
        <w:t xml:space="preserve"> </w:t>
      </w:r>
      <w:proofErr w:type="spellStart"/>
      <w:r w:rsidRPr="0077546F">
        <w:rPr>
          <w:rFonts w:cs="Calibri,Italic"/>
          <w:i/>
          <w:iCs/>
          <w:sz w:val="20"/>
          <w:szCs w:val="20"/>
        </w:rPr>
        <w:t>Glöckner</w:t>
      </w:r>
      <w:proofErr w:type="spellEnd"/>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proofErr w:type="spellStart"/>
      <w:r w:rsidRPr="0077546F">
        <w:rPr>
          <w:rFonts w:cs="Calibri,Italic"/>
          <w:i/>
          <w:iCs/>
          <w:sz w:val="20"/>
          <w:szCs w:val="20"/>
        </w:rPr>
        <w:t>Pavlov</w:t>
      </w:r>
      <w:proofErr w:type="spellEnd"/>
      <w:r w:rsidRPr="0077546F">
        <w:rPr>
          <w:rFonts w:cs="Calibri,Italic"/>
          <w:i/>
          <w:iCs/>
          <w:sz w:val="20"/>
          <w:szCs w:val="20"/>
        </w:rPr>
        <w:t xml:space="preserve"> and </w:t>
      </w:r>
      <w:proofErr w:type="spellStart"/>
      <w:r w:rsidRPr="0077546F">
        <w:rPr>
          <w:rFonts w:cs="Calibri,Italic"/>
          <w:i/>
          <w:iCs/>
          <w:sz w:val="20"/>
          <w:szCs w:val="20"/>
        </w:rPr>
        <w:t>Others</w:t>
      </w:r>
      <w:proofErr w:type="spellEnd"/>
      <w:r w:rsidRPr="0077546F">
        <w:rPr>
          <w:rFonts w:cs="Calibri,Italic"/>
          <w:iCs/>
          <w:sz w:val="20"/>
          <w:szCs w:val="20"/>
        </w:rPr>
        <w:t>, [2000] ECR I-6451.</w:t>
      </w:r>
    </w:p>
    <w:p w:rsidR="00D61255" w:rsidRDefault="00D61255">
      <w:pPr>
        <w:pStyle w:val="Tekstprzypisudolnego"/>
      </w:pPr>
    </w:p>
  </w:footnote>
  <w:footnote w:id="11">
    <w:p w:rsidR="00D61255" w:rsidRPr="007234E0" w:rsidRDefault="00D61255"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D61255" w:rsidRDefault="00D61255"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3">
    <w:p w:rsidR="00D61255" w:rsidRPr="00E755BA" w:rsidRDefault="00D61255"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4">
    <w:p w:rsidR="00D61255" w:rsidRPr="00E755BA" w:rsidRDefault="00D61255"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D61255" w:rsidRPr="000802E2" w:rsidRDefault="00D61255"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6">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7">
    <w:p w:rsidR="00D61255" w:rsidRPr="0077546F" w:rsidRDefault="00D61255"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8">
    <w:p w:rsidR="00D61255" w:rsidRDefault="00D61255"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D61255" w:rsidRPr="00D523F8" w:rsidRDefault="00D61255"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0">
    <w:p w:rsidR="00D61255" w:rsidRDefault="00D61255"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D61255" w:rsidRDefault="00D61255">
      <w:pPr>
        <w:pStyle w:val="Tekstprzypisudolnego"/>
      </w:pPr>
      <w:r>
        <w:rPr>
          <w:rStyle w:val="Odwoanieprzypisudolnego"/>
        </w:rPr>
        <w:footnoteRef/>
      </w:r>
      <w:r>
        <w:t xml:space="preserve"> Patrz przypis 1</w:t>
      </w:r>
    </w:p>
  </w:footnote>
  <w:footnote w:id="22">
    <w:p w:rsidR="00D61255" w:rsidRDefault="00D61255">
      <w:pPr>
        <w:pStyle w:val="Tekstprzypisudolnego"/>
      </w:pPr>
      <w:r>
        <w:rPr>
          <w:rStyle w:val="Odwoanieprzypisudolnego"/>
        </w:rPr>
        <w:footnoteRef/>
      </w:r>
      <w:r>
        <w:t xml:space="preserve"> Patrz przypis 13</w:t>
      </w:r>
    </w:p>
  </w:footnote>
  <w:footnote w:id="23">
    <w:p w:rsidR="00D61255" w:rsidRDefault="00D61255"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4">
    <w:p w:rsidR="00D61255" w:rsidRPr="00C53CDA" w:rsidRDefault="00D61255" w:rsidP="00C53CDA">
      <w:pPr>
        <w:pStyle w:val="Bezodstpw"/>
        <w:jc w:val="both"/>
        <w:rPr>
          <w:sz w:val="20"/>
          <w:szCs w:val="20"/>
        </w:rPr>
      </w:pPr>
      <w:r w:rsidRPr="00C53CDA">
        <w:rPr>
          <w:rStyle w:val="Odwoanieprzypisudolnego"/>
          <w:sz w:val="20"/>
          <w:szCs w:val="20"/>
        </w:rPr>
        <w:footnoteRef/>
      </w:r>
      <w:r w:rsidRPr="00C53CDA">
        <w:rPr>
          <w:sz w:val="20"/>
          <w:szCs w:val="20"/>
        </w:rPr>
        <w:t xml:space="preserve"> Szerzej patrz: Partnerstwo publiczno-prywatne w nowym okresie programowania (2014-2020). Komentarz do przepisów Rozporządzenia Ogólnego na lata 2014-2020 w zakresie partnerstwa publiczno-prywatnego, publikacja </w:t>
      </w:r>
      <w:proofErr w:type="spellStart"/>
      <w:r w:rsidRPr="00C53CDA">
        <w:rPr>
          <w:sz w:val="20"/>
          <w:szCs w:val="20"/>
        </w:rPr>
        <w:t>MIiR</w:t>
      </w:r>
      <w:proofErr w:type="spellEnd"/>
      <w:r w:rsidRPr="00C53CDA">
        <w:rPr>
          <w:sz w:val="20"/>
          <w:szCs w:val="20"/>
        </w:rPr>
        <w:t xml:space="preserve">, grudzień 2013, dostępny na stronie www.ppp.gov.pl.  </w:t>
      </w:r>
    </w:p>
  </w:footnote>
  <w:footnote w:id="25">
    <w:p w:rsidR="00D61255" w:rsidRDefault="00D61255"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w:t>
      </w:r>
      <w:proofErr w:type="spellStart"/>
      <w:r w:rsidRPr="00253611">
        <w:t>drainage</w:t>
      </w:r>
      <w:proofErr w:type="spellEnd"/>
      <w:r w:rsidRPr="00253611">
        <w:t xml:space="preserve">”. W niniejszej instrukcji </w:t>
      </w:r>
      <w:r>
        <w:t xml:space="preserve">przyjęto interpretację, że </w:t>
      </w:r>
      <w:r w:rsidRPr="00253611">
        <w:t xml:space="preserve">skrót </w:t>
      </w:r>
      <w:r>
        <w:t xml:space="preserve">ten </w:t>
      </w:r>
      <w:r w:rsidRPr="00253611">
        <w:t xml:space="preserve">oznacza skutki złego drenażu wód opadowych, który nie zapobiega podtopieniom i </w:t>
      </w:r>
      <w:proofErr w:type="spellStart"/>
      <w:r w:rsidRPr="00253611">
        <w:t>zalaniom</w:t>
      </w:r>
      <w:proofErr w:type="spellEnd"/>
      <w:r w:rsidRPr="00253611">
        <w:t xml:space="preserve">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24943"/>
    <w:multiLevelType w:val="hybridMultilevel"/>
    <w:tmpl w:val="B950A2FA"/>
    <w:lvl w:ilvl="0" w:tplc="04150017">
      <w:start w:val="1"/>
      <w:numFmt w:val="lowerLetter"/>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8" w15:restartNumberingAfterBreak="0">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4443B"/>
    <w:multiLevelType w:val="hybridMultilevel"/>
    <w:tmpl w:val="D66A5F7A"/>
    <w:lvl w:ilvl="0" w:tplc="C060B91C">
      <w:start w:val="1"/>
      <w:numFmt w:val="decimal"/>
      <w:lvlText w:val="%1."/>
      <w:lvlJc w:val="left"/>
      <w:pPr>
        <w:tabs>
          <w:tab w:val="num" w:pos="1440"/>
        </w:tabs>
        <w:ind w:left="1440" w:hanging="360"/>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2D5476"/>
    <w:multiLevelType w:val="hybridMultilevel"/>
    <w:tmpl w:val="BF189352"/>
    <w:lvl w:ilvl="0" w:tplc="A682736E">
      <w:start w:val="1"/>
      <w:numFmt w:val="lowerLetter"/>
      <w:lvlText w:val="%1)"/>
      <w:lvlJc w:val="right"/>
      <w:pPr>
        <w:ind w:left="1428" w:hanging="360"/>
      </w:pPr>
      <w:rPr>
        <w:b w:val="0"/>
        <w:i w:val="0"/>
        <w:caps w:val="0"/>
        <w:strike w:val="0"/>
        <w:dstrike w:val="0"/>
        <w:vanish w:val="0"/>
        <w:webHidden w:val="0"/>
        <w:color w:val="auto"/>
        <w:u w:val="none"/>
        <w:effect w:val="none"/>
        <w:vertAlign w:val="baseline"/>
        <w:specVanish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A89216F"/>
    <w:multiLevelType w:val="multilevel"/>
    <w:tmpl w:val="7918EC46"/>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6C6DA9"/>
    <w:multiLevelType w:val="hybridMultilevel"/>
    <w:tmpl w:val="C190411E"/>
    <w:lvl w:ilvl="0" w:tplc="AD004D6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2F1DE5"/>
    <w:multiLevelType w:val="multilevel"/>
    <w:tmpl w:val="AC921058"/>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heme="majorHAnsi" w:hAnsiTheme="majorHAnsi" w:hint="default"/>
        <w:b/>
        <w:i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podpunkt"/>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35"/>
  </w:num>
  <w:num w:numId="3">
    <w:abstractNumId w:val="3"/>
  </w:num>
  <w:num w:numId="4">
    <w:abstractNumId w:val="31"/>
  </w:num>
  <w:num w:numId="5">
    <w:abstractNumId w:val="34"/>
  </w:num>
  <w:num w:numId="6">
    <w:abstractNumId w:val="1"/>
  </w:num>
  <w:num w:numId="7">
    <w:abstractNumId w:val="28"/>
  </w:num>
  <w:num w:numId="8">
    <w:abstractNumId w:val="13"/>
  </w:num>
  <w:num w:numId="9">
    <w:abstractNumId w:val="4"/>
  </w:num>
  <w:num w:numId="10">
    <w:abstractNumId w:val="6"/>
  </w:num>
  <w:num w:numId="11">
    <w:abstractNumId w:val="22"/>
  </w:num>
  <w:num w:numId="12">
    <w:abstractNumId w:val="23"/>
  </w:num>
  <w:num w:numId="13">
    <w:abstractNumId w:val="27"/>
  </w:num>
  <w:num w:numId="14">
    <w:abstractNumId w:val="18"/>
  </w:num>
  <w:num w:numId="15">
    <w:abstractNumId w:val="16"/>
  </w:num>
  <w:num w:numId="16">
    <w:abstractNumId w:val="26"/>
  </w:num>
  <w:num w:numId="17">
    <w:abstractNumId w:val="9"/>
  </w:num>
  <w:num w:numId="18">
    <w:abstractNumId w:val="10"/>
  </w:num>
  <w:num w:numId="19">
    <w:abstractNumId w:val="11"/>
  </w:num>
  <w:num w:numId="20">
    <w:abstractNumId w:val="17"/>
  </w:num>
  <w:num w:numId="21">
    <w:abstractNumId w:val="32"/>
  </w:num>
  <w:num w:numId="22">
    <w:abstractNumId w:val="20"/>
  </w:num>
  <w:num w:numId="23">
    <w:abstractNumId w:val="21"/>
  </w:num>
  <w:num w:numId="24">
    <w:abstractNumId w:val="29"/>
  </w:num>
  <w:num w:numId="25">
    <w:abstractNumId w:val="14"/>
  </w:num>
  <w:num w:numId="26">
    <w:abstractNumId w:val="0"/>
  </w:num>
  <w:num w:numId="27">
    <w:abstractNumId w:val="19"/>
  </w:num>
  <w:num w:numId="28">
    <w:abstractNumId w:val="15"/>
  </w:num>
  <w:num w:numId="29">
    <w:abstractNumId w:val="5"/>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36"/>
  </w:num>
  <w:num w:numId="39">
    <w:abstractNumId w:val="12"/>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F"/>
    <w:rsid w:val="000010D7"/>
    <w:rsid w:val="00004234"/>
    <w:rsid w:val="000072A9"/>
    <w:rsid w:val="000168EE"/>
    <w:rsid w:val="0002044C"/>
    <w:rsid w:val="000251C6"/>
    <w:rsid w:val="0002522E"/>
    <w:rsid w:val="00030291"/>
    <w:rsid w:val="00040F69"/>
    <w:rsid w:val="00041F80"/>
    <w:rsid w:val="00043312"/>
    <w:rsid w:val="00043BBC"/>
    <w:rsid w:val="00045DB7"/>
    <w:rsid w:val="00050FF2"/>
    <w:rsid w:val="00052A1E"/>
    <w:rsid w:val="0005321B"/>
    <w:rsid w:val="00055119"/>
    <w:rsid w:val="000567D1"/>
    <w:rsid w:val="00061612"/>
    <w:rsid w:val="0006218A"/>
    <w:rsid w:val="0007481C"/>
    <w:rsid w:val="000802E2"/>
    <w:rsid w:val="0008254A"/>
    <w:rsid w:val="00084053"/>
    <w:rsid w:val="00084475"/>
    <w:rsid w:val="000855C6"/>
    <w:rsid w:val="00086A4C"/>
    <w:rsid w:val="00096BE1"/>
    <w:rsid w:val="000971C6"/>
    <w:rsid w:val="000A19CD"/>
    <w:rsid w:val="000A1CF7"/>
    <w:rsid w:val="000B1483"/>
    <w:rsid w:val="000B7359"/>
    <w:rsid w:val="000C105F"/>
    <w:rsid w:val="000C2B2F"/>
    <w:rsid w:val="000C47D4"/>
    <w:rsid w:val="000C63E9"/>
    <w:rsid w:val="000D1E18"/>
    <w:rsid w:val="000D221D"/>
    <w:rsid w:val="000D333A"/>
    <w:rsid w:val="000D5F65"/>
    <w:rsid w:val="000E0BAD"/>
    <w:rsid w:val="000E303D"/>
    <w:rsid w:val="000E7549"/>
    <w:rsid w:val="000F2089"/>
    <w:rsid w:val="000F2341"/>
    <w:rsid w:val="000F6A3D"/>
    <w:rsid w:val="00100A23"/>
    <w:rsid w:val="00101445"/>
    <w:rsid w:val="0011345D"/>
    <w:rsid w:val="0011368F"/>
    <w:rsid w:val="001136CB"/>
    <w:rsid w:val="0011370D"/>
    <w:rsid w:val="00113E17"/>
    <w:rsid w:val="00121267"/>
    <w:rsid w:val="00126A33"/>
    <w:rsid w:val="00141E31"/>
    <w:rsid w:val="001423C6"/>
    <w:rsid w:val="001434BE"/>
    <w:rsid w:val="0014521B"/>
    <w:rsid w:val="00147BB0"/>
    <w:rsid w:val="00147C54"/>
    <w:rsid w:val="001530B7"/>
    <w:rsid w:val="00157A2A"/>
    <w:rsid w:val="00161F89"/>
    <w:rsid w:val="00164610"/>
    <w:rsid w:val="00167613"/>
    <w:rsid w:val="001717CD"/>
    <w:rsid w:val="00174786"/>
    <w:rsid w:val="001769C3"/>
    <w:rsid w:val="0019223A"/>
    <w:rsid w:val="001959DC"/>
    <w:rsid w:val="001A3535"/>
    <w:rsid w:val="001A40FC"/>
    <w:rsid w:val="001A653F"/>
    <w:rsid w:val="001A6862"/>
    <w:rsid w:val="001B05B4"/>
    <w:rsid w:val="001B1F1A"/>
    <w:rsid w:val="001B6127"/>
    <w:rsid w:val="001B7FBC"/>
    <w:rsid w:val="001C09AE"/>
    <w:rsid w:val="001D087B"/>
    <w:rsid w:val="001D15C4"/>
    <w:rsid w:val="001D3A72"/>
    <w:rsid w:val="001F69F1"/>
    <w:rsid w:val="001F78CF"/>
    <w:rsid w:val="001F7EE5"/>
    <w:rsid w:val="002050AE"/>
    <w:rsid w:val="00206135"/>
    <w:rsid w:val="00211BFC"/>
    <w:rsid w:val="00224B0F"/>
    <w:rsid w:val="00225387"/>
    <w:rsid w:val="00226957"/>
    <w:rsid w:val="00232DCB"/>
    <w:rsid w:val="00234A67"/>
    <w:rsid w:val="002403FD"/>
    <w:rsid w:val="0024270F"/>
    <w:rsid w:val="00246113"/>
    <w:rsid w:val="002469D6"/>
    <w:rsid w:val="00246C10"/>
    <w:rsid w:val="00246F1C"/>
    <w:rsid w:val="002503DC"/>
    <w:rsid w:val="002517D7"/>
    <w:rsid w:val="00252A66"/>
    <w:rsid w:val="00253611"/>
    <w:rsid w:val="00254217"/>
    <w:rsid w:val="00263168"/>
    <w:rsid w:val="00264D87"/>
    <w:rsid w:val="0027223D"/>
    <w:rsid w:val="002751BE"/>
    <w:rsid w:val="00281277"/>
    <w:rsid w:val="0028357C"/>
    <w:rsid w:val="00283FF6"/>
    <w:rsid w:val="002853EE"/>
    <w:rsid w:val="0029545B"/>
    <w:rsid w:val="00296641"/>
    <w:rsid w:val="00296DC1"/>
    <w:rsid w:val="002A00BE"/>
    <w:rsid w:val="002B1795"/>
    <w:rsid w:val="002B4947"/>
    <w:rsid w:val="002B4F35"/>
    <w:rsid w:val="002B73A1"/>
    <w:rsid w:val="002C1B70"/>
    <w:rsid w:val="002C64A0"/>
    <w:rsid w:val="002D100C"/>
    <w:rsid w:val="002D3BC2"/>
    <w:rsid w:val="002D66F8"/>
    <w:rsid w:val="002E1051"/>
    <w:rsid w:val="002F36EB"/>
    <w:rsid w:val="002F6BF2"/>
    <w:rsid w:val="00301FE9"/>
    <w:rsid w:val="00302A87"/>
    <w:rsid w:val="00303639"/>
    <w:rsid w:val="00303CD4"/>
    <w:rsid w:val="00307089"/>
    <w:rsid w:val="003072DD"/>
    <w:rsid w:val="00307B38"/>
    <w:rsid w:val="003146D8"/>
    <w:rsid w:val="0031757F"/>
    <w:rsid w:val="00317DA4"/>
    <w:rsid w:val="00321481"/>
    <w:rsid w:val="003251C7"/>
    <w:rsid w:val="00325711"/>
    <w:rsid w:val="00330BC0"/>
    <w:rsid w:val="003321E1"/>
    <w:rsid w:val="00332AB1"/>
    <w:rsid w:val="00333700"/>
    <w:rsid w:val="0033476B"/>
    <w:rsid w:val="00335AD4"/>
    <w:rsid w:val="003407F1"/>
    <w:rsid w:val="0035042A"/>
    <w:rsid w:val="00361643"/>
    <w:rsid w:val="0036193A"/>
    <w:rsid w:val="0036554E"/>
    <w:rsid w:val="00376A79"/>
    <w:rsid w:val="00376E85"/>
    <w:rsid w:val="003820AC"/>
    <w:rsid w:val="0038225A"/>
    <w:rsid w:val="00387B8B"/>
    <w:rsid w:val="00395C2D"/>
    <w:rsid w:val="00397E62"/>
    <w:rsid w:val="003A3935"/>
    <w:rsid w:val="003A4AC8"/>
    <w:rsid w:val="003A68DF"/>
    <w:rsid w:val="003B0E8A"/>
    <w:rsid w:val="003B3E82"/>
    <w:rsid w:val="003B45C5"/>
    <w:rsid w:val="003B5B22"/>
    <w:rsid w:val="003B73D8"/>
    <w:rsid w:val="003C2A99"/>
    <w:rsid w:val="003C3411"/>
    <w:rsid w:val="003D25B4"/>
    <w:rsid w:val="003D2E9C"/>
    <w:rsid w:val="003D3A5D"/>
    <w:rsid w:val="003D3BCC"/>
    <w:rsid w:val="003D59A2"/>
    <w:rsid w:val="003D74BF"/>
    <w:rsid w:val="003D78EB"/>
    <w:rsid w:val="003E4A13"/>
    <w:rsid w:val="003E4B13"/>
    <w:rsid w:val="003E4C7E"/>
    <w:rsid w:val="003E5C19"/>
    <w:rsid w:val="003F258C"/>
    <w:rsid w:val="003F3906"/>
    <w:rsid w:val="003F39C2"/>
    <w:rsid w:val="003F3A90"/>
    <w:rsid w:val="00404786"/>
    <w:rsid w:val="00410675"/>
    <w:rsid w:val="004149BB"/>
    <w:rsid w:val="004255BD"/>
    <w:rsid w:val="00426A5B"/>
    <w:rsid w:val="00427CEE"/>
    <w:rsid w:val="00430277"/>
    <w:rsid w:val="004334A8"/>
    <w:rsid w:val="00435F43"/>
    <w:rsid w:val="004435D2"/>
    <w:rsid w:val="00452354"/>
    <w:rsid w:val="00453BD3"/>
    <w:rsid w:val="004620AF"/>
    <w:rsid w:val="00466AD9"/>
    <w:rsid w:val="00466F9F"/>
    <w:rsid w:val="004672CC"/>
    <w:rsid w:val="00473240"/>
    <w:rsid w:val="00473F9E"/>
    <w:rsid w:val="00474BAC"/>
    <w:rsid w:val="00477A36"/>
    <w:rsid w:val="004870D5"/>
    <w:rsid w:val="0049175E"/>
    <w:rsid w:val="00496C95"/>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15E37"/>
    <w:rsid w:val="005166BE"/>
    <w:rsid w:val="00516AF8"/>
    <w:rsid w:val="00521CB2"/>
    <w:rsid w:val="005334D4"/>
    <w:rsid w:val="00534ECF"/>
    <w:rsid w:val="005421A5"/>
    <w:rsid w:val="00542C16"/>
    <w:rsid w:val="00543693"/>
    <w:rsid w:val="00550D78"/>
    <w:rsid w:val="005520AB"/>
    <w:rsid w:val="00554A9B"/>
    <w:rsid w:val="00554EF1"/>
    <w:rsid w:val="00557320"/>
    <w:rsid w:val="0056093D"/>
    <w:rsid w:val="00560B60"/>
    <w:rsid w:val="00564A3F"/>
    <w:rsid w:val="00566A32"/>
    <w:rsid w:val="00572CF5"/>
    <w:rsid w:val="00573837"/>
    <w:rsid w:val="00576CF2"/>
    <w:rsid w:val="0058507B"/>
    <w:rsid w:val="00586720"/>
    <w:rsid w:val="00592190"/>
    <w:rsid w:val="0059311F"/>
    <w:rsid w:val="005A2D12"/>
    <w:rsid w:val="005A2E96"/>
    <w:rsid w:val="005A304D"/>
    <w:rsid w:val="005A50FA"/>
    <w:rsid w:val="005B00F9"/>
    <w:rsid w:val="005B1087"/>
    <w:rsid w:val="005B2F0A"/>
    <w:rsid w:val="005B2F5D"/>
    <w:rsid w:val="005B50A4"/>
    <w:rsid w:val="005B6BA0"/>
    <w:rsid w:val="005C0085"/>
    <w:rsid w:val="005C00E5"/>
    <w:rsid w:val="005D6687"/>
    <w:rsid w:val="005E1856"/>
    <w:rsid w:val="005E419B"/>
    <w:rsid w:val="005F12CF"/>
    <w:rsid w:val="005F7666"/>
    <w:rsid w:val="00602A83"/>
    <w:rsid w:val="00604F9D"/>
    <w:rsid w:val="006117C2"/>
    <w:rsid w:val="006131D3"/>
    <w:rsid w:val="0061432B"/>
    <w:rsid w:val="006143F5"/>
    <w:rsid w:val="006202C2"/>
    <w:rsid w:val="006219BB"/>
    <w:rsid w:val="006335E2"/>
    <w:rsid w:val="00644F54"/>
    <w:rsid w:val="00646CF9"/>
    <w:rsid w:val="00646E62"/>
    <w:rsid w:val="0065052A"/>
    <w:rsid w:val="00663666"/>
    <w:rsid w:val="00665A82"/>
    <w:rsid w:val="006747E7"/>
    <w:rsid w:val="00676B45"/>
    <w:rsid w:val="0067722A"/>
    <w:rsid w:val="006804C0"/>
    <w:rsid w:val="00680FA3"/>
    <w:rsid w:val="0068290E"/>
    <w:rsid w:val="00685B9C"/>
    <w:rsid w:val="00691021"/>
    <w:rsid w:val="00692AAF"/>
    <w:rsid w:val="00694DB9"/>
    <w:rsid w:val="00695072"/>
    <w:rsid w:val="006A2C79"/>
    <w:rsid w:val="006A340F"/>
    <w:rsid w:val="006A3667"/>
    <w:rsid w:val="006A6990"/>
    <w:rsid w:val="006B09ED"/>
    <w:rsid w:val="006B1620"/>
    <w:rsid w:val="006C46B9"/>
    <w:rsid w:val="006C76DD"/>
    <w:rsid w:val="006D31AF"/>
    <w:rsid w:val="006D62C4"/>
    <w:rsid w:val="006D794F"/>
    <w:rsid w:val="006E4C4C"/>
    <w:rsid w:val="006E4DE7"/>
    <w:rsid w:val="006E7510"/>
    <w:rsid w:val="006F1D0F"/>
    <w:rsid w:val="007016DF"/>
    <w:rsid w:val="0070183D"/>
    <w:rsid w:val="00701918"/>
    <w:rsid w:val="007127E2"/>
    <w:rsid w:val="0071557C"/>
    <w:rsid w:val="007234E0"/>
    <w:rsid w:val="007268FA"/>
    <w:rsid w:val="00727B4F"/>
    <w:rsid w:val="00733BC1"/>
    <w:rsid w:val="0073642F"/>
    <w:rsid w:val="00754EDE"/>
    <w:rsid w:val="007635BE"/>
    <w:rsid w:val="00767543"/>
    <w:rsid w:val="007678D4"/>
    <w:rsid w:val="0077546F"/>
    <w:rsid w:val="007754E4"/>
    <w:rsid w:val="00777D2E"/>
    <w:rsid w:val="007806C7"/>
    <w:rsid w:val="00791C20"/>
    <w:rsid w:val="007A528A"/>
    <w:rsid w:val="007B1169"/>
    <w:rsid w:val="007B21DD"/>
    <w:rsid w:val="007B66CC"/>
    <w:rsid w:val="007B6F99"/>
    <w:rsid w:val="007C4A0E"/>
    <w:rsid w:val="007C5D58"/>
    <w:rsid w:val="007C7432"/>
    <w:rsid w:val="007D43E8"/>
    <w:rsid w:val="007D50AA"/>
    <w:rsid w:val="007E015F"/>
    <w:rsid w:val="007E72A6"/>
    <w:rsid w:val="007F0D67"/>
    <w:rsid w:val="007F46BF"/>
    <w:rsid w:val="007F7064"/>
    <w:rsid w:val="007F72B0"/>
    <w:rsid w:val="0080373F"/>
    <w:rsid w:val="008141CD"/>
    <w:rsid w:val="00814B94"/>
    <w:rsid w:val="00820A51"/>
    <w:rsid w:val="00820AA4"/>
    <w:rsid w:val="0082674D"/>
    <w:rsid w:val="00833AFE"/>
    <w:rsid w:val="0083650C"/>
    <w:rsid w:val="00837D2A"/>
    <w:rsid w:val="0084076B"/>
    <w:rsid w:val="00845491"/>
    <w:rsid w:val="00850EA6"/>
    <w:rsid w:val="0085490C"/>
    <w:rsid w:val="008553E4"/>
    <w:rsid w:val="008634BD"/>
    <w:rsid w:val="00865F90"/>
    <w:rsid w:val="008831D3"/>
    <w:rsid w:val="00891C1F"/>
    <w:rsid w:val="0089335E"/>
    <w:rsid w:val="00896BFB"/>
    <w:rsid w:val="008A02D2"/>
    <w:rsid w:val="008B083E"/>
    <w:rsid w:val="008B2B9D"/>
    <w:rsid w:val="008B3111"/>
    <w:rsid w:val="008B566F"/>
    <w:rsid w:val="008C5155"/>
    <w:rsid w:val="008C5498"/>
    <w:rsid w:val="008C78E1"/>
    <w:rsid w:val="008D1748"/>
    <w:rsid w:val="008E5EA2"/>
    <w:rsid w:val="008E69B2"/>
    <w:rsid w:val="008F10CC"/>
    <w:rsid w:val="008F4418"/>
    <w:rsid w:val="008F4C11"/>
    <w:rsid w:val="008F740D"/>
    <w:rsid w:val="009015F0"/>
    <w:rsid w:val="00903BB6"/>
    <w:rsid w:val="00905F67"/>
    <w:rsid w:val="00910F09"/>
    <w:rsid w:val="00911E45"/>
    <w:rsid w:val="009125F9"/>
    <w:rsid w:val="00917451"/>
    <w:rsid w:val="0092569D"/>
    <w:rsid w:val="00926142"/>
    <w:rsid w:val="00926ED6"/>
    <w:rsid w:val="00927C90"/>
    <w:rsid w:val="00930BEC"/>
    <w:rsid w:val="009333F9"/>
    <w:rsid w:val="00933D17"/>
    <w:rsid w:val="009356A8"/>
    <w:rsid w:val="00936812"/>
    <w:rsid w:val="0093792E"/>
    <w:rsid w:val="00941BE7"/>
    <w:rsid w:val="009421A9"/>
    <w:rsid w:val="0094244F"/>
    <w:rsid w:val="0096366D"/>
    <w:rsid w:val="00966398"/>
    <w:rsid w:val="0096695A"/>
    <w:rsid w:val="0096756C"/>
    <w:rsid w:val="00967798"/>
    <w:rsid w:val="00970B03"/>
    <w:rsid w:val="0097460E"/>
    <w:rsid w:val="00983053"/>
    <w:rsid w:val="0098341B"/>
    <w:rsid w:val="00993140"/>
    <w:rsid w:val="00997DAC"/>
    <w:rsid w:val="009B3F56"/>
    <w:rsid w:val="009B7B74"/>
    <w:rsid w:val="009C03B2"/>
    <w:rsid w:val="009C2B8D"/>
    <w:rsid w:val="009C593A"/>
    <w:rsid w:val="009D6B96"/>
    <w:rsid w:val="009E6A1B"/>
    <w:rsid w:val="009E7C36"/>
    <w:rsid w:val="009F3632"/>
    <w:rsid w:val="00A02516"/>
    <w:rsid w:val="00A1039E"/>
    <w:rsid w:val="00A10751"/>
    <w:rsid w:val="00A13BE0"/>
    <w:rsid w:val="00A14BBB"/>
    <w:rsid w:val="00A16B03"/>
    <w:rsid w:val="00A16CF7"/>
    <w:rsid w:val="00A1781C"/>
    <w:rsid w:val="00A26561"/>
    <w:rsid w:val="00A27F12"/>
    <w:rsid w:val="00A302D2"/>
    <w:rsid w:val="00A3420C"/>
    <w:rsid w:val="00A36582"/>
    <w:rsid w:val="00A43CA2"/>
    <w:rsid w:val="00A627F8"/>
    <w:rsid w:val="00A655D6"/>
    <w:rsid w:val="00A7162A"/>
    <w:rsid w:val="00A71D18"/>
    <w:rsid w:val="00A75E47"/>
    <w:rsid w:val="00A775EB"/>
    <w:rsid w:val="00A7789E"/>
    <w:rsid w:val="00A80450"/>
    <w:rsid w:val="00A82500"/>
    <w:rsid w:val="00A85294"/>
    <w:rsid w:val="00AB2127"/>
    <w:rsid w:val="00AD113F"/>
    <w:rsid w:val="00AE0B87"/>
    <w:rsid w:val="00AE4135"/>
    <w:rsid w:val="00AE5A0F"/>
    <w:rsid w:val="00AF1009"/>
    <w:rsid w:val="00AF1079"/>
    <w:rsid w:val="00AF58B9"/>
    <w:rsid w:val="00AF790E"/>
    <w:rsid w:val="00B01886"/>
    <w:rsid w:val="00B02CF4"/>
    <w:rsid w:val="00B06379"/>
    <w:rsid w:val="00B06A4B"/>
    <w:rsid w:val="00B10E31"/>
    <w:rsid w:val="00B11B07"/>
    <w:rsid w:val="00B154AF"/>
    <w:rsid w:val="00B15D24"/>
    <w:rsid w:val="00B164C4"/>
    <w:rsid w:val="00B2260A"/>
    <w:rsid w:val="00B23530"/>
    <w:rsid w:val="00B23928"/>
    <w:rsid w:val="00B23E7E"/>
    <w:rsid w:val="00B24B32"/>
    <w:rsid w:val="00B3301F"/>
    <w:rsid w:val="00B4104E"/>
    <w:rsid w:val="00B41FBA"/>
    <w:rsid w:val="00B430DC"/>
    <w:rsid w:val="00B43CB2"/>
    <w:rsid w:val="00B520ED"/>
    <w:rsid w:val="00B538DA"/>
    <w:rsid w:val="00B54E3C"/>
    <w:rsid w:val="00B63439"/>
    <w:rsid w:val="00B63580"/>
    <w:rsid w:val="00B65756"/>
    <w:rsid w:val="00B66EF8"/>
    <w:rsid w:val="00B75526"/>
    <w:rsid w:val="00B75C32"/>
    <w:rsid w:val="00B76479"/>
    <w:rsid w:val="00B87900"/>
    <w:rsid w:val="00B90374"/>
    <w:rsid w:val="00B94195"/>
    <w:rsid w:val="00B941EF"/>
    <w:rsid w:val="00B94F29"/>
    <w:rsid w:val="00B97187"/>
    <w:rsid w:val="00BA1725"/>
    <w:rsid w:val="00BB2120"/>
    <w:rsid w:val="00BB542B"/>
    <w:rsid w:val="00BB5E04"/>
    <w:rsid w:val="00BB5FE0"/>
    <w:rsid w:val="00BC30B5"/>
    <w:rsid w:val="00BD505D"/>
    <w:rsid w:val="00BE57B0"/>
    <w:rsid w:val="00BE5B41"/>
    <w:rsid w:val="00BF217F"/>
    <w:rsid w:val="00BF7D81"/>
    <w:rsid w:val="00C07010"/>
    <w:rsid w:val="00C11BA3"/>
    <w:rsid w:val="00C22E68"/>
    <w:rsid w:val="00C26C8E"/>
    <w:rsid w:val="00C30E32"/>
    <w:rsid w:val="00C32B9C"/>
    <w:rsid w:val="00C3322E"/>
    <w:rsid w:val="00C43842"/>
    <w:rsid w:val="00C441B9"/>
    <w:rsid w:val="00C46495"/>
    <w:rsid w:val="00C50010"/>
    <w:rsid w:val="00C51187"/>
    <w:rsid w:val="00C522A0"/>
    <w:rsid w:val="00C53911"/>
    <w:rsid w:val="00C53CDA"/>
    <w:rsid w:val="00C5532D"/>
    <w:rsid w:val="00C5705D"/>
    <w:rsid w:val="00C5757B"/>
    <w:rsid w:val="00C57E5E"/>
    <w:rsid w:val="00C62C66"/>
    <w:rsid w:val="00C65052"/>
    <w:rsid w:val="00C67A59"/>
    <w:rsid w:val="00C7032E"/>
    <w:rsid w:val="00C70B2B"/>
    <w:rsid w:val="00C72055"/>
    <w:rsid w:val="00C76DBF"/>
    <w:rsid w:val="00C80C6B"/>
    <w:rsid w:val="00C82926"/>
    <w:rsid w:val="00C8599B"/>
    <w:rsid w:val="00C9319A"/>
    <w:rsid w:val="00C93C31"/>
    <w:rsid w:val="00C97013"/>
    <w:rsid w:val="00CA7B10"/>
    <w:rsid w:val="00CB116F"/>
    <w:rsid w:val="00CB19D1"/>
    <w:rsid w:val="00CB6104"/>
    <w:rsid w:val="00CD0B49"/>
    <w:rsid w:val="00CE4254"/>
    <w:rsid w:val="00CE685B"/>
    <w:rsid w:val="00CF45C2"/>
    <w:rsid w:val="00D210FD"/>
    <w:rsid w:val="00D21C28"/>
    <w:rsid w:val="00D222FF"/>
    <w:rsid w:val="00D23D73"/>
    <w:rsid w:val="00D2778D"/>
    <w:rsid w:val="00D326D4"/>
    <w:rsid w:val="00D36B81"/>
    <w:rsid w:val="00D40160"/>
    <w:rsid w:val="00D403FB"/>
    <w:rsid w:val="00D45F09"/>
    <w:rsid w:val="00D4633F"/>
    <w:rsid w:val="00D517F1"/>
    <w:rsid w:val="00D523F8"/>
    <w:rsid w:val="00D556EB"/>
    <w:rsid w:val="00D55AE8"/>
    <w:rsid w:val="00D55ECA"/>
    <w:rsid w:val="00D609FE"/>
    <w:rsid w:val="00D61255"/>
    <w:rsid w:val="00D618C0"/>
    <w:rsid w:val="00D66E1A"/>
    <w:rsid w:val="00D67FA1"/>
    <w:rsid w:val="00D75A39"/>
    <w:rsid w:val="00D75B2C"/>
    <w:rsid w:val="00D763C5"/>
    <w:rsid w:val="00D7680B"/>
    <w:rsid w:val="00D81DC1"/>
    <w:rsid w:val="00D82561"/>
    <w:rsid w:val="00D948EF"/>
    <w:rsid w:val="00D96699"/>
    <w:rsid w:val="00DA072D"/>
    <w:rsid w:val="00DA533B"/>
    <w:rsid w:val="00DB06E8"/>
    <w:rsid w:val="00DB1ABB"/>
    <w:rsid w:val="00DB675B"/>
    <w:rsid w:val="00DC031B"/>
    <w:rsid w:val="00DC6AE6"/>
    <w:rsid w:val="00DD18D7"/>
    <w:rsid w:val="00DD2ABD"/>
    <w:rsid w:val="00DD3C25"/>
    <w:rsid w:val="00DD4BC1"/>
    <w:rsid w:val="00DD7B6B"/>
    <w:rsid w:val="00DF07B6"/>
    <w:rsid w:val="00DF0D72"/>
    <w:rsid w:val="00DF2A08"/>
    <w:rsid w:val="00DF568A"/>
    <w:rsid w:val="00DF57AE"/>
    <w:rsid w:val="00DF5843"/>
    <w:rsid w:val="00DF69F8"/>
    <w:rsid w:val="00E0442B"/>
    <w:rsid w:val="00E20836"/>
    <w:rsid w:val="00E25F3D"/>
    <w:rsid w:val="00E27781"/>
    <w:rsid w:val="00E337C5"/>
    <w:rsid w:val="00E36268"/>
    <w:rsid w:val="00E4654B"/>
    <w:rsid w:val="00E51C38"/>
    <w:rsid w:val="00E56D6D"/>
    <w:rsid w:val="00E6036A"/>
    <w:rsid w:val="00E60398"/>
    <w:rsid w:val="00E664DC"/>
    <w:rsid w:val="00E755BA"/>
    <w:rsid w:val="00E75D0D"/>
    <w:rsid w:val="00E7710B"/>
    <w:rsid w:val="00E8388C"/>
    <w:rsid w:val="00E87AFF"/>
    <w:rsid w:val="00E930D1"/>
    <w:rsid w:val="00E95091"/>
    <w:rsid w:val="00E96C74"/>
    <w:rsid w:val="00E97161"/>
    <w:rsid w:val="00EA1979"/>
    <w:rsid w:val="00EA6165"/>
    <w:rsid w:val="00EA6B9C"/>
    <w:rsid w:val="00EB4D7A"/>
    <w:rsid w:val="00EB705B"/>
    <w:rsid w:val="00EC27C6"/>
    <w:rsid w:val="00EC40DC"/>
    <w:rsid w:val="00ED048A"/>
    <w:rsid w:val="00ED487E"/>
    <w:rsid w:val="00ED6572"/>
    <w:rsid w:val="00ED7579"/>
    <w:rsid w:val="00EF330A"/>
    <w:rsid w:val="00EF3342"/>
    <w:rsid w:val="00EF56F4"/>
    <w:rsid w:val="00EF69AC"/>
    <w:rsid w:val="00F003FE"/>
    <w:rsid w:val="00F0777D"/>
    <w:rsid w:val="00F1134A"/>
    <w:rsid w:val="00F1707A"/>
    <w:rsid w:val="00F170D9"/>
    <w:rsid w:val="00F21C69"/>
    <w:rsid w:val="00F2727E"/>
    <w:rsid w:val="00F2795C"/>
    <w:rsid w:val="00F34D01"/>
    <w:rsid w:val="00F35422"/>
    <w:rsid w:val="00F4209C"/>
    <w:rsid w:val="00F44897"/>
    <w:rsid w:val="00F448EC"/>
    <w:rsid w:val="00F62937"/>
    <w:rsid w:val="00F6508B"/>
    <w:rsid w:val="00F65122"/>
    <w:rsid w:val="00F74437"/>
    <w:rsid w:val="00F8319D"/>
    <w:rsid w:val="00F86F3B"/>
    <w:rsid w:val="00F94757"/>
    <w:rsid w:val="00F96231"/>
    <w:rsid w:val="00F9645B"/>
    <w:rsid w:val="00F96C73"/>
    <w:rsid w:val="00F97C95"/>
    <w:rsid w:val="00FA01D2"/>
    <w:rsid w:val="00FA2BD2"/>
    <w:rsid w:val="00FB20AD"/>
    <w:rsid w:val="00FB2F99"/>
    <w:rsid w:val="00FB5796"/>
    <w:rsid w:val="00FB6532"/>
    <w:rsid w:val="00FC5E33"/>
    <w:rsid w:val="00FC6618"/>
    <w:rsid w:val="00FD1E58"/>
    <w:rsid w:val="00FD4214"/>
    <w:rsid w:val="00FD4A51"/>
    <w:rsid w:val="00FD66CF"/>
    <w:rsid w:val="00FD6CF0"/>
    <w:rsid w:val="00FD6DD2"/>
    <w:rsid w:val="00FE3459"/>
    <w:rsid w:val="00FE4890"/>
    <w:rsid w:val="00FE513C"/>
    <w:rsid w:val="00FE5487"/>
    <w:rsid w:val="00FE717E"/>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7260D-049C-45E2-ACBE-1DBA2F67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B94195"/>
    <w:pPr>
      <w:ind w:left="720"/>
      <w:contextualSpacing/>
    </w:pPr>
  </w:style>
  <w:style w:type="paragraph" w:styleId="Bezodstpw">
    <w:name w:val="No Spacing"/>
    <w:uiPriority w:val="1"/>
    <w:qFormat/>
    <w:rsid w:val="00676B45"/>
    <w:rPr>
      <w:sz w:val="22"/>
      <w:szCs w:val="22"/>
      <w:lang w:eastAsia="en-US"/>
    </w:rPr>
  </w:style>
  <w:style w:type="character" w:customStyle="1" w:styleId="Nagwek2Znak">
    <w:name w:val="Nagłówek 2 Znak"/>
    <w:basedOn w:val="Domylnaczcionkaakapitu"/>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character" w:customStyle="1" w:styleId="podpunktZnak">
    <w:name w:val="podpunkt Znak"/>
    <w:basedOn w:val="AkapitzlistZnak"/>
    <w:link w:val="podpunkt"/>
    <w:locked/>
    <w:rsid w:val="00D210FD"/>
    <w:rPr>
      <w:sz w:val="28"/>
      <w:szCs w:val="28"/>
      <w:lang w:eastAsia="en-US"/>
    </w:rPr>
  </w:style>
  <w:style w:type="paragraph" w:customStyle="1" w:styleId="podpunkt">
    <w:name w:val="podpunkt"/>
    <w:basedOn w:val="Akapitzlist"/>
    <w:link w:val="podpunktZnak"/>
    <w:qFormat/>
    <w:rsid w:val="00D210FD"/>
    <w:pPr>
      <w:keepNext/>
      <w:numPr>
        <w:ilvl w:val="2"/>
        <w:numId w:val="1"/>
      </w:numPr>
      <w:spacing w:before="120" w:after="120"/>
      <w:contextualSpacing w:val="0"/>
      <w:outlineLvl w:val="1"/>
    </w:pPr>
    <w:rPr>
      <w:sz w:val="28"/>
      <w:szCs w:val="28"/>
      <w:lang w:eastAsia="pl-PL"/>
    </w:rPr>
  </w:style>
  <w:style w:type="paragraph" w:styleId="Mapadokumentu">
    <w:name w:val="Document Map"/>
    <w:basedOn w:val="Normalny"/>
    <w:link w:val="MapadokumentuZnak"/>
    <w:uiPriority w:val="99"/>
    <w:semiHidden/>
    <w:unhideWhenUsed/>
    <w:rsid w:val="001D087B"/>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1D087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58585427">
      <w:bodyDiv w:val="1"/>
      <w:marLeft w:val="0"/>
      <w:marRight w:val="0"/>
      <w:marTop w:val="0"/>
      <w:marBottom w:val="0"/>
      <w:divBdr>
        <w:top w:val="none" w:sz="0" w:space="0" w:color="auto"/>
        <w:left w:val="none" w:sz="0" w:space="0" w:color="auto"/>
        <w:bottom w:val="none" w:sz="0" w:space="0" w:color="auto"/>
        <w:right w:val="none" w:sz="0" w:space="0" w:color="auto"/>
      </w:divBdr>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ED60D-7203-485A-B8B7-B8271560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20616</Words>
  <Characters>123696</Characters>
  <Application>Microsoft Office Word</Application>
  <DocSecurity>0</DocSecurity>
  <Lines>1030</Lines>
  <Paragraphs>288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144024</CharactersWithSpaces>
  <SharedDoc>false</SharedDoc>
  <HLinks>
    <vt:vector size="324" baseType="variant">
      <vt:variant>
        <vt:i4>917605</vt:i4>
      </vt:variant>
      <vt:variant>
        <vt:i4>306</vt:i4>
      </vt:variant>
      <vt:variant>
        <vt:i4>0</vt:i4>
      </vt:variant>
      <vt:variant>
        <vt:i4>5</vt:i4>
      </vt:variant>
      <vt:variant>
        <vt:lpwstr>https://www.funduszeeuropejskie.gov.pl/strony/ofunduszach/dokumenty/_x000b_podrecznik-wnioskodawcy-i-beneficjenta-programow-polityki-spojnosci-2014-2020-w-zakresie-informacji-i-promocji/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1900596</vt:i4>
      </vt:variant>
      <vt:variant>
        <vt:i4>287</vt:i4>
      </vt:variant>
      <vt:variant>
        <vt:i4>0</vt:i4>
      </vt:variant>
      <vt:variant>
        <vt:i4>5</vt:i4>
      </vt:variant>
      <vt:variant>
        <vt:lpwstr/>
      </vt:variant>
      <vt:variant>
        <vt:lpwstr>_Toc459885123</vt:lpwstr>
      </vt:variant>
      <vt:variant>
        <vt:i4>1900596</vt:i4>
      </vt:variant>
      <vt:variant>
        <vt:i4>281</vt:i4>
      </vt:variant>
      <vt:variant>
        <vt:i4>0</vt:i4>
      </vt:variant>
      <vt:variant>
        <vt:i4>5</vt:i4>
      </vt:variant>
      <vt:variant>
        <vt:lpwstr/>
      </vt:variant>
      <vt:variant>
        <vt:lpwstr>_Toc459885122</vt:lpwstr>
      </vt:variant>
      <vt:variant>
        <vt:i4>1900596</vt:i4>
      </vt:variant>
      <vt:variant>
        <vt:i4>275</vt:i4>
      </vt:variant>
      <vt:variant>
        <vt:i4>0</vt:i4>
      </vt:variant>
      <vt:variant>
        <vt:i4>5</vt:i4>
      </vt:variant>
      <vt:variant>
        <vt:lpwstr/>
      </vt:variant>
      <vt:variant>
        <vt:lpwstr>_Toc459885121</vt:lpwstr>
      </vt:variant>
      <vt:variant>
        <vt:i4>1900596</vt:i4>
      </vt:variant>
      <vt:variant>
        <vt:i4>269</vt:i4>
      </vt:variant>
      <vt:variant>
        <vt:i4>0</vt:i4>
      </vt:variant>
      <vt:variant>
        <vt:i4>5</vt:i4>
      </vt:variant>
      <vt:variant>
        <vt:lpwstr/>
      </vt:variant>
      <vt:variant>
        <vt:lpwstr>_Toc459885120</vt:lpwstr>
      </vt:variant>
      <vt:variant>
        <vt:i4>1966132</vt:i4>
      </vt:variant>
      <vt:variant>
        <vt:i4>263</vt:i4>
      </vt:variant>
      <vt:variant>
        <vt:i4>0</vt:i4>
      </vt:variant>
      <vt:variant>
        <vt:i4>5</vt:i4>
      </vt:variant>
      <vt:variant>
        <vt:lpwstr/>
      </vt:variant>
      <vt:variant>
        <vt:lpwstr>_Toc459885119</vt:lpwstr>
      </vt:variant>
      <vt:variant>
        <vt:i4>1966132</vt:i4>
      </vt:variant>
      <vt:variant>
        <vt:i4>257</vt:i4>
      </vt:variant>
      <vt:variant>
        <vt:i4>0</vt:i4>
      </vt:variant>
      <vt:variant>
        <vt:i4>5</vt:i4>
      </vt:variant>
      <vt:variant>
        <vt:lpwstr/>
      </vt:variant>
      <vt:variant>
        <vt:lpwstr>_Toc459885118</vt:lpwstr>
      </vt:variant>
      <vt:variant>
        <vt:i4>1966132</vt:i4>
      </vt:variant>
      <vt:variant>
        <vt:i4>251</vt:i4>
      </vt:variant>
      <vt:variant>
        <vt:i4>0</vt:i4>
      </vt:variant>
      <vt:variant>
        <vt:i4>5</vt:i4>
      </vt:variant>
      <vt:variant>
        <vt:lpwstr/>
      </vt:variant>
      <vt:variant>
        <vt:lpwstr>_Toc459885117</vt:lpwstr>
      </vt:variant>
      <vt:variant>
        <vt:i4>1966132</vt:i4>
      </vt:variant>
      <vt:variant>
        <vt:i4>245</vt:i4>
      </vt:variant>
      <vt:variant>
        <vt:i4>0</vt:i4>
      </vt:variant>
      <vt:variant>
        <vt:i4>5</vt:i4>
      </vt:variant>
      <vt:variant>
        <vt:lpwstr/>
      </vt:variant>
      <vt:variant>
        <vt:lpwstr>_Toc459885116</vt:lpwstr>
      </vt:variant>
      <vt:variant>
        <vt:i4>1966132</vt:i4>
      </vt:variant>
      <vt:variant>
        <vt:i4>239</vt:i4>
      </vt:variant>
      <vt:variant>
        <vt:i4>0</vt:i4>
      </vt:variant>
      <vt:variant>
        <vt:i4>5</vt:i4>
      </vt:variant>
      <vt:variant>
        <vt:lpwstr/>
      </vt:variant>
      <vt:variant>
        <vt:lpwstr>_Toc459885115</vt:lpwstr>
      </vt:variant>
      <vt:variant>
        <vt:i4>1966132</vt:i4>
      </vt:variant>
      <vt:variant>
        <vt:i4>233</vt:i4>
      </vt:variant>
      <vt:variant>
        <vt:i4>0</vt:i4>
      </vt:variant>
      <vt:variant>
        <vt:i4>5</vt:i4>
      </vt:variant>
      <vt:variant>
        <vt:lpwstr/>
      </vt:variant>
      <vt:variant>
        <vt:lpwstr>_Toc459885114</vt:lpwstr>
      </vt:variant>
      <vt:variant>
        <vt:i4>1966132</vt:i4>
      </vt:variant>
      <vt:variant>
        <vt:i4>227</vt:i4>
      </vt:variant>
      <vt:variant>
        <vt:i4>0</vt:i4>
      </vt:variant>
      <vt:variant>
        <vt:i4>5</vt:i4>
      </vt:variant>
      <vt:variant>
        <vt:lpwstr/>
      </vt:variant>
      <vt:variant>
        <vt:lpwstr>_Toc459885113</vt:lpwstr>
      </vt:variant>
      <vt:variant>
        <vt:i4>1966132</vt:i4>
      </vt:variant>
      <vt:variant>
        <vt:i4>221</vt:i4>
      </vt:variant>
      <vt:variant>
        <vt:i4>0</vt:i4>
      </vt:variant>
      <vt:variant>
        <vt:i4>5</vt:i4>
      </vt:variant>
      <vt:variant>
        <vt:lpwstr/>
      </vt:variant>
      <vt:variant>
        <vt:lpwstr>_Toc459885112</vt:lpwstr>
      </vt:variant>
      <vt:variant>
        <vt:i4>1966132</vt:i4>
      </vt:variant>
      <vt:variant>
        <vt:i4>215</vt:i4>
      </vt:variant>
      <vt:variant>
        <vt:i4>0</vt:i4>
      </vt:variant>
      <vt:variant>
        <vt:i4>5</vt:i4>
      </vt:variant>
      <vt:variant>
        <vt:lpwstr/>
      </vt:variant>
      <vt:variant>
        <vt:lpwstr>_Toc459885111</vt:lpwstr>
      </vt:variant>
      <vt:variant>
        <vt:i4>1966132</vt:i4>
      </vt:variant>
      <vt:variant>
        <vt:i4>209</vt:i4>
      </vt:variant>
      <vt:variant>
        <vt:i4>0</vt:i4>
      </vt:variant>
      <vt:variant>
        <vt:i4>5</vt:i4>
      </vt:variant>
      <vt:variant>
        <vt:lpwstr/>
      </vt:variant>
      <vt:variant>
        <vt:lpwstr>_Toc459885110</vt:lpwstr>
      </vt:variant>
      <vt:variant>
        <vt:i4>2031668</vt:i4>
      </vt:variant>
      <vt:variant>
        <vt:i4>203</vt:i4>
      </vt:variant>
      <vt:variant>
        <vt:i4>0</vt:i4>
      </vt:variant>
      <vt:variant>
        <vt:i4>5</vt:i4>
      </vt:variant>
      <vt:variant>
        <vt:lpwstr/>
      </vt:variant>
      <vt:variant>
        <vt:lpwstr>_Toc459885109</vt:lpwstr>
      </vt:variant>
      <vt:variant>
        <vt:i4>2031668</vt:i4>
      </vt:variant>
      <vt:variant>
        <vt:i4>197</vt:i4>
      </vt:variant>
      <vt:variant>
        <vt:i4>0</vt:i4>
      </vt:variant>
      <vt:variant>
        <vt:i4>5</vt:i4>
      </vt:variant>
      <vt:variant>
        <vt:lpwstr/>
      </vt:variant>
      <vt:variant>
        <vt:lpwstr>_Toc459885108</vt:lpwstr>
      </vt:variant>
      <vt:variant>
        <vt:i4>2031668</vt:i4>
      </vt:variant>
      <vt:variant>
        <vt:i4>191</vt:i4>
      </vt:variant>
      <vt:variant>
        <vt:i4>0</vt:i4>
      </vt:variant>
      <vt:variant>
        <vt:i4>5</vt:i4>
      </vt:variant>
      <vt:variant>
        <vt:lpwstr/>
      </vt:variant>
      <vt:variant>
        <vt:lpwstr>_Toc459885107</vt:lpwstr>
      </vt:variant>
      <vt:variant>
        <vt:i4>2031668</vt:i4>
      </vt:variant>
      <vt:variant>
        <vt:i4>185</vt:i4>
      </vt:variant>
      <vt:variant>
        <vt:i4>0</vt:i4>
      </vt:variant>
      <vt:variant>
        <vt:i4>5</vt:i4>
      </vt:variant>
      <vt:variant>
        <vt:lpwstr/>
      </vt:variant>
      <vt:variant>
        <vt:lpwstr>_Toc459885106</vt:lpwstr>
      </vt:variant>
      <vt:variant>
        <vt:i4>2031668</vt:i4>
      </vt:variant>
      <vt:variant>
        <vt:i4>179</vt:i4>
      </vt:variant>
      <vt:variant>
        <vt:i4>0</vt:i4>
      </vt:variant>
      <vt:variant>
        <vt:i4>5</vt:i4>
      </vt:variant>
      <vt:variant>
        <vt:lpwstr/>
      </vt:variant>
      <vt:variant>
        <vt:lpwstr>_Toc459885105</vt:lpwstr>
      </vt:variant>
      <vt:variant>
        <vt:i4>2031668</vt:i4>
      </vt:variant>
      <vt:variant>
        <vt:i4>173</vt:i4>
      </vt:variant>
      <vt:variant>
        <vt:i4>0</vt:i4>
      </vt:variant>
      <vt:variant>
        <vt:i4>5</vt:i4>
      </vt:variant>
      <vt:variant>
        <vt:lpwstr/>
      </vt:variant>
      <vt:variant>
        <vt:lpwstr>_Toc459885104</vt:lpwstr>
      </vt:variant>
      <vt:variant>
        <vt:i4>2031668</vt:i4>
      </vt:variant>
      <vt:variant>
        <vt:i4>167</vt:i4>
      </vt:variant>
      <vt:variant>
        <vt:i4>0</vt:i4>
      </vt:variant>
      <vt:variant>
        <vt:i4>5</vt:i4>
      </vt:variant>
      <vt:variant>
        <vt:lpwstr/>
      </vt:variant>
      <vt:variant>
        <vt:lpwstr>_Toc459885103</vt:lpwstr>
      </vt:variant>
      <vt:variant>
        <vt:i4>2031668</vt:i4>
      </vt:variant>
      <vt:variant>
        <vt:i4>161</vt:i4>
      </vt:variant>
      <vt:variant>
        <vt:i4>0</vt:i4>
      </vt:variant>
      <vt:variant>
        <vt:i4>5</vt:i4>
      </vt:variant>
      <vt:variant>
        <vt:lpwstr/>
      </vt:variant>
      <vt:variant>
        <vt:lpwstr>_Toc459885102</vt:lpwstr>
      </vt:variant>
      <vt:variant>
        <vt:i4>2031668</vt:i4>
      </vt:variant>
      <vt:variant>
        <vt:i4>155</vt:i4>
      </vt:variant>
      <vt:variant>
        <vt:i4>0</vt:i4>
      </vt:variant>
      <vt:variant>
        <vt:i4>5</vt:i4>
      </vt:variant>
      <vt:variant>
        <vt:lpwstr/>
      </vt:variant>
      <vt:variant>
        <vt:lpwstr>_Toc459885101</vt:lpwstr>
      </vt:variant>
      <vt:variant>
        <vt:i4>2031668</vt:i4>
      </vt:variant>
      <vt:variant>
        <vt:i4>149</vt:i4>
      </vt:variant>
      <vt:variant>
        <vt:i4>0</vt:i4>
      </vt:variant>
      <vt:variant>
        <vt:i4>5</vt:i4>
      </vt:variant>
      <vt:variant>
        <vt:lpwstr/>
      </vt:variant>
      <vt:variant>
        <vt:lpwstr>_Toc459885100</vt:lpwstr>
      </vt:variant>
      <vt:variant>
        <vt:i4>1441845</vt:i4>
      </vt:variant>
      <vt:variant>
        <vt:i4>143</vt:i4>
      </vt:variant>
      <vt:variant>
        <vt:i4>0</vt:i4>
      </vt:variant>
      <vt:variant>
        <vt:i4>5</vt:i4>
      </vt:variant>
      <vt:variant>
        <vt:lpwstr/>
      </vt:variant>
      <vt:variant>
        <vt:lpwstr>_Toc459885099</vt:lpwstr>
      </vt:variant>
      <vt:variant>
        <vt:i4>1441845</vt:i4>
      </vt:variant>
      <vt:variant>
        <vt:i4>137</vt:i4>
      </vt:variant>
      <vt:variant>
        <vt:i4>0</vt:i4>
      </vt:variant>
      <vt:variant>
        <vt:i4>5</vt:i4>
      </vt:variant>
      <vt:variant>
        <vt:lpwstr/>
      </vt:variant>
      <vt:variant>
        <vt:lpwstr>_Toc459885098</vt:lpwstr>
      </vt:variant>
      <vt:variant>
        <vt:i4>1441845</vt:i4>
      </vt:variant>
      <vt:variant>
        <vt:i4>131</vt:i4>
      </vt:variant>
      <vt:variant>
        <vt:i4>0</vt:i4>
      </vt:variant>
      <vt:variant>
        <vt:i4>5</vt:i4>
      </vt:variant>
      <vt:variant>
        <vt:lpwstr/>
      </vt:variant>
      <vt:variant>
        <vt:lpwstr>_Toc459885097</vt:lpwstr>
      </vt:variant>
      <vt:variant>
        <vt:i4>1441845</vt:i4>
      </vt:variant>
      <vt:variant>
        <vt:i4>125</vt:i4>
      </vt:variant>
      <vt:variant>
        <vt:i4>0</vt:i4>
      </vt:variant>
      <vt:variant>
        <vt:i4>5</vt:i4>
      </vt:variant>
      <vt:variant>
        <vt:lpwstr/>
      </vt:variant>
      <vt:variant>
        <vt:lpwstr>_Toc459885096</vt:lpwstr>
      </vt:variant>
      <vt:variant>
        <vt:i4>1441845</vt:i4>
      </vt:variant>
      <vt:variant>
        <vt:i4>119</vt:i4>
      </vt:variant>
      <vt:variant>
        <vt:i4>0</vt:i4>
      </vt:variant>
      <vt:variant>
        <vt:i4>5</vt:i4>
      </vt:variant>
      <vt:variant>
        <vt:lpwstr/>
      </vt:variant>
      <vt:variant>
        <vt:lpwstr>_Toc459885095</vt:lpwstr>
      </vt:variant>
      <vt:variant>
        <vt:i4>1441845</vt:i4>
      </vt:variant>
      <vt:variant>
        <vt:i4>113</vt:i4>
      </vt:variant>
      <vt:variant>
        <vt:i4>0</vt:i4>
      </vt:variant>
      <vt:variant>
        <vt:i4>5</vt:i4>
      </vt:variant>
      <vt:variant>
        <vt:lpwstr/>
      </vt:variant>
      <vt:variant>
        <vt:lpwstr>_Toc459885094</vt:lpwstr>
      </vt:variant>
      <vt:variant>
        <vt:i4>1441845</vt:i4>
      </vt:variant>
      <vt:variant>
        <vt:i4>107</vt:i4>
      </vt:variant>
      <vt:variant>
        <vt:i4>0</vt:i4>
      </vt:variant>
      <vt:variant>
        <vt:i4>5</vt:i4>
      </vt:variant>
      <vt:variant>
        <vt:lpwstr/>
      </vt:variant>
      <vt:variant>
        <vt:lpwstr>_Toc459885093</vt:lpwstr>
      </vt:variant>
      <vt:variant>
        <vt:i4>1441845</vt:i4>
      </vt:variant>
      <vt:variant>
        <vt:i4>101</vt:i4>
      </vt:variant>
      <vt:variant>
        <vt:i4>0</vt:i4>
      </vt:variant>
      <vt:variant>
        <vt:i4>5</vt:i4>
      </vt:variant>
      <vt:variant>
        <vt:lpwstr/>
      </vt:variant>
      <vt:variant>
        <vt:lpwstr>_Toc459885092</vt:lpwstr>
      </vt:variant>
      <vt:variant>
        <vt:i4>1441845</vt:i4>
      </vt:variant>
      <vt:variant>
        <vt:i4>95</vt:i4>
      </vt:variant>
      <vt:variant>
        <vt:i4>0</vt:i4>
      </vt:variant>
      <vt:variant>
        <vt:i4>5</vt:i4>
      </vt:variant>
      <vt:variant>
        <vt:lpwstr/>
      </vt:variant>
      <vt:variant>
        <vt:lpwstr>_Toc459885091</vt:lpwstr>
      </vt:variant>
      <vt:variant>
        <vt:i4>1441845</vt:i4>
      </vt:variant>
      <vt:variant>
        <vt:i4>89</vt:i4>
      </vt:variant>
      <vt:variant>
        <vt:i4>0</vt:i4>
      </vt:variant>
      <vt:variant>
        <vt:i4>5</vt:i4>
      </vt:variant>
      <vt:variant>
        <vt:lpwstr/>
      </vt:variant>
      <vt:variant>
        <vt:lpwstr>_Toc459885090</vt:lpwstr>
      </vt:variant>
      <vt:variant>
        <vt:i4>1507381</vt:i4>
      </vt:variant>
      <vt:variant>
        <vt:i4>83</vt:i4>
      </vt:variant>
      <vt:variant>
        <vt:i4>0</vt:i4>
      </vt:variant>
      <vt:variant>
        <vt:i4>5</vt:i4>
      </vt:variant>
      <vt:variant>
        <vt:lpwstr/>
      </vt:variant>
      <vt:variant>
        <vt:lpwstr>_Toc459885089</vt:lpwstr>
      </vt:variant>
      <vt:variant>
        <vt:i4>1507381</vt:i4>
      </vt:variant>
      <vt:variant>
        <vt:i4>77</vt:i4>
      </vt:variant>
      <vt:variant>
        <vt:i4>0</vt:i4>
      </vt:variant>
      <vt:variant>
        <vt:i4>5</vt:i4>
      </vt:variant>
      <vt:variant>
        <vt:lpwstr/>
      </vt:variant>
      <vt:variant>
        <vt:lpwstr>_Toc459885088</vt:lpwstr>
      </vt:variant>
      <vt:variant>
        <vt:i4>1507381</vt:i4>
      </vt:variant>
      <vt:variant>
        <vt:i4>71</vt:i4>
      </vt:variant>
      <vt:variant>
        <vt:i4>0</vt:i4>
      </vt:variant>
      <vt:variant>
        <vt:i4>5</vt:i4>
      </vt:variant>
      <vt:variant>
        <vt:lpwstr/>
      </vt:variant>
      <vt:variant>
        <vt:lpwstr>_Toc459885087</vt:lpwstr>
      </vt:variant>
      <vt:variant>
        <vt:i4>1507381</vt:i4>
      </vt:variant>
      <vt:variant>
        <vt:i4>65</vt:i4>
      </vt:variant>
      <vt:variant>
        <vt:i4>0</vt:i4>
      </vt:variant>
      <vt:variant>
        <vt:i4>5</vt:i4>
      </vt:variant>
      <vt:variant>
        <vt:lpwstr/>
      </vt:variant>
      <vt:variant>
        <vt:lpwstr>_Toc459885086</vt:lpwstr>
      </vt:variant>
      <vt:variant>
        <vt:i4>1507381</vt:i4>
      </vt:variant>
      <vt:variant>
        <vt:i4>59</vt:i4>
      </vt:variant>
      <vt:variant>
        <vt:i4>0</vt:i4>
      </vt:variant>
      <vt:variant>
        <vt:i4>5</vt:i4>
      </vt:variant>
      <vt:variant>
        <vt:lpwstr/>
      </vt:variant>
      <vt:variant>
        <vt:lpwstr>_Toc459885085</vt:lpwstr>
      </vt:variant>
      <vt:variant>
        <vt:i4>1507381</vt:i4>
      </vt:variant>
      <vt:variant>
        <vt:i4>53</vt:i4>
      </vt:variant>
      <vt:variant>
        <vt:i4>0</vt:i4>
      </vt:variant>
      <vt:variant>
        <vt:i4>5</vt:i4>
      </vt:variant>
      <vt:variant>
        <vt:lpwstr/>
      </vt:variant>
      <vt:variant>
        <vt:lpwstr>_Toc459885084</vt:lpwstr>
      </vt:variant>
      <vt:variant>
        <vt:i4>1507381</vt:i4>
      </vt:variant>
      <vt:variant>
        <vt:i4>47</vt:i4>
      </vt:variant>
      <vt:variant>
        <vt:i4>0</vt:i4>
      </vt:variant>
      <vt:variant>
        <vt:i4>5</vt:i4>
      </vt:variant>
      <vt:variant>
        <vt:lpwstr/>
      </vt:variant>
      <vt:variant>
        <vt:lpwstr>_Toc459885083</vt:lpwstr>
      </vt:variant>
      <vt:variant>
        <vt:i4>1507381</vt:i4>
      </vt:variant>
      <vt:variant>
        <vt:i4>41</vt:i4>
      </vt:variant>
      <vt:variant>
        <vt:i4>0</vt:i4>
      </vt:variant>
      <vt:variant>
        <vt:i4>5</vt:i4>
      </vt:variant>
      <vt:variant>
        <vt:lpwstr/>
      </vt:variant>
      <vt:variant>
        <vt:lpwstr>_Toc459885082</vt:lpwstr>
      </vt:variant>
      <vt:variant>
        <vt:i4>1507381</vt:i4>
      </vt:variant>
      <vt:variant>
        <vt:i4>35</vt:i4>
      </vt:variant>
      <vt:variant>
        <vt:i4>0</vt:i4>
      </vt:variant>
      <vt:variant>
        <vt:i4>5</vt:i4>
      </vt:variant>
      <vt:variant>
        <vt:lpwstr/>
      </vt:variant>
      <vt:variant>
        <vt:lpwstr>_Toc459885081</vt:lpwstr>
      </vt:variant>
      <vt:variant>
        <vt:i4>1507381</vt:i4>
      </vt:variant>
      <vt:variant>
        <vt:i4>29</vt:i4>
      </vt:variant>
      <vt:variant>
        <vt:i4>0</vt:i4>
      </vt:variant>
      <vt:variant>
        <vt:i4>5</vt:i4>
      </vt:variant>
      <vt:variant>
        <vt:lpwstr/>
      </vt:variant>
      <vt:variant>
        <vt:lpwstr>_Toc459885080</vt:lpwstr>
      </vt:variant>
      <vt:variant>
        <vt:i4>1572917</vt:i4>
      </vt:variant>
      <vt:variant>
        <vt:i4>23</vt:i4>
      </vt:variant>
      <vt:variant>
        <vt:i4>0</vt:i4>
      </vt:variant>
      <vt:variant>
        <vt:i4>5</vt:i4>
      </vt:variant>
      <vt:variant>
        <vt:lpwstr/>
      </vt:variant>
      <vt:variant>
        <vt:lpwstr>_Toc459885079</vt:lpwstr>
      </vt:variant>
      <vt:variant>
        <vt:i4>1572917</vt:i4>
      </vt:variant>
      <vt:variant>
        <vt:i4>17</vt:i4>
      </vt:variant>
      <vt:variant>
        <vt:i4>0</vt:i4>
      </vt:variant>
      <vt:variant>
        <vt:i4>5</vt:i4>
      </vt:variant>
      <vt:variant>
        <vt:lpwstr/>
      </vt:variant>
      <vt:variant>
        <vt:lpwstr>_Toc459885078</vt:lpwstr>
      </vt:variant>
      <vt:variant>
        <vt:i4>1572917</vt:i4>
      </vt:variant>
      <vt:variant>
        <vt:i4>11</vt:i4>
      </vt:variant>
      <vt:variant>
        <vt:i4>0</vt:i4>
      </vt:variant>
      <vt:variant>
        <vt:i4>5</vt:i4>
      </vt:variant>
      <vt:variant>
        <vt:lpwstr/>
      </vt:variant>
      <vt:variant>
        <vt:lpwstr>_Toc459885077</vt:lpwstr>
      </vt:variant>
      <vt:variant>
        <vt:i4>1572917</vt:i4>
      </vt:variant>
      <vt:variant>
        <vt:i4>5</vt:i4>
      </vt:variant>
      <vt:variant>
        <vt:i4>0</vt:i4>
      </vt:variant>
      <vt:variant>
        <vt:i4>5</vt:i4>
      </vt:variant>
      <vt:variant>
        <vt:lpwstr/>
      </vt:variant>
      <vt:variant>
        <vt:lpwstr>_Toc459885076</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Kubiak, Katarzyna</cp:lastModifiedBy>
  <cp:revision>4</cp:revision>
  <cp:lastPrinted>2018-05-24T08:34:00Z</cp:lastPrinted>
  <dcterms:created xsi:type="dcterms:W3CDTF">2020-02-11T07:39:00Z</dcterms:created>
  <dcterms:modified xsi:type="dcterms:W3CDTF">2020-02-20T08:43:00Z</dcterms:modified>
</cp:coreProperties>
</file>