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3A22A0B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E01207">
        <w:rPr>
          <w:rFonts w:ascii="Cambria" w:hAnsi="Cambria"/>
        </w:rPr>
        <w:t>10 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E01207">
        <w:rPr>
          <w:rFonts w:ascii="Cambria" w:hAnsi="Cambria"/>
          <w:b/>
          <w:bCs/>
        </w:rPr>
        <w:t>Anną Żelazny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E01207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</w:t>
      </w:r>
      <w:r w:rsidR="00E01207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E01207">
        <w:rPr>
          <w:rFonts w:ascii="Cambria" w:hAnsi="Cambria"/>
          <w:b/>
          <w:bCs/>
        </w:rPr>
        <w:t>GABINET KOSMETYKI NATURALNEJ Anna Żelazny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E01207">
        <w:rPr>
          <w:rFonts w:ascii="Cambria" w:hAnsi="Cambria" w:cs="Arial"/>
          <w:b/>
          <w:bCs/>
          <w:iCs/>
        </w:rPr>
        <w:t>„WPROWADZENIE INNOWACYJNYCH USŁUG MEDYCYNY ESTETYCZNEJ NA TERENIE POWIATU KIELECKIEGO”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7E3E5058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96B74" w:rsidRPr="00A56103">
        <w:rPr>
          <w:rFonts w:ascii="Cambria" w:hAnsi="Cambria"/>
          <w:b/>
          <w:bCs/>
        </w:rPr>
        <w:t>1</w:t>
      </w:r>
      <w:r w:rsidR="00E01207">
        <w:rPr>
          <w:rFonts w:ascii="Cambria" w:hAnsi="Cambria"/>
          <w:b/>
          <w:bCs/>
        </w:rPr>
        <w:t>29 000,00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E01207">
        <w:rPr>
          <w:rFonts w:ascii="Cambria" w:hAnsi="Cambria"/>
          <w:b/>
          <w:bCs/>
        </w:rPr>
        <w:t>09 650,00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01207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13</cp:revision>
  <dcterms:created xsi:type="dcterms:W3CDTF">2020-06-19T10:40:00Z</dcterms:created>
  <dcterms:modified xsi:type="dcterms:W3CDTF">2020-08-07T13:03:00Z</dcterms:modified>
</cp:coreProperties>
</file>