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3E" w:rsidRPr="000253B8" w:rsidRDefault="00922A98" w:rsidP="000253B8">
      <w:pPr>
        <w:pStyle w:val="Default"/>
        <w:spacing w:line="276" w:lineRule="auto"/>
        <w:rPr>
          <w:color w:val="auto"/>
        </w:rPr>
      </w:pPr>
      <w:r w:rsidRPr="000253B8">
        <w:rPr>
          <w:noProof/>
          <w:color w:val="auto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72390</wp:posOffset>
            </wp:positionV>
            <wp:extent cx="1390015" cy="657225"/>
            <wp:effectExtent l="19050" t="0" r="635" b="0"/>
            <wp:wrapNone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1FE" w:rsidRPr="000253B8">
        <w:rPr>
          <w:noProof/>
          <w:color w:val="auto"/>
          <w:lang w:eastAsia="pl-PL"/>
        </w:rPr>
        <w:drawing>
          <wp:inline distT="0" distB="0" distL="0" distR="0">
            <wp:extent cx="1579495" cy="730516"/>
            <wp:effectExtent l="19050" t="0" r="1655" b="0"/>
            <wp:docPr id="2" name="Obraz 4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495" cy="73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843" w:rsidRPr="000253B8">
        <w:rPr>
          <w:noProof/>
          <w:color w:val="auto"/>
          <w:lang w:eastAsia="pl-PL"/>
        </w:rPr>
        <w:t xml:space="preserve">                     </w:t>
      </w:r>
      <w:r w:rsidRPr="000253B8">
        <w:rPr>
          <w:noProof/>
          <w:color w:val="auto"/>
          <w:lang w:eastAsia="pl-PL"/>
        </w:rPr>
        <w:t xml:space="preserve">                        </w:t>
      </w:r>
      <w:r w:rsidR="00B3311E" w:rsidRPr="000253B8">
        <w:rPr>
          <w:noProof/>
          <w:color w:val="auto"/>
          <w:lang w:eastAsia="pl-PL"/>
        </w:rPr>
        <w:t xml:space="preserve"> </w:t>
      </w:r>
      <w:r w:rsidR="004021FE" w:rsidRPr="000253B8">
        <w:rPr>
          <w:noProof/>
          <w:color w:val="auto"/>
          <w:lang w:eastAsia="pl-PL"/>
        </w:rPr>
        <w:drawing>
          <wp:inline distT="0" distB="0" distL="0" distR="0">
            <wp:extent cx="2381088" cy="730516"/>
            <wp:effectExtent l="19050" t="0" r="162" b="0"/>
            <wp:docPr id="5" name="Obraz 6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88" cy="73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1FE" w:rsidRPr="000253B8" w:rsidRDefault="004021FE" w:rsidP="000253B8">
      <w:pPr>
        <w:pStyle w:val="Default"/>
        <w:spacing w:line="276" w:lineRule="auto"/>
        <w:rPr>
          <w:color w:val="auto"/>
        </w:rPr>
      </w:pPr>
    </w:p>
    <w:p w:rsidR="000253B8" w:rsidRPr="000253B8" w:rsidRDefault="000253B8" w:rsidP="000253B8">
      <w:pPr>
        <w:pStyle w:val="Default"/>
        <w:spacing w:line="276" w:lineRule="auto"/>
        <w:rPr>
          <w:color w:val="auto"/>
        </w:rPr>
      </w:pPr>
    </w:p>
    <w:p w:rsidR="000253B8" w:rsidRPr="000253B8" w:rsidRDefault="00D30625" w:rsidP="00B30038">
      <w:pPr>
        <w:pStyle w:val="Nagwek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Załącznik nr </w:t>
      </w:r>
      <w:r w:rsidR="00F37B28">
        <w:rPr>
          <w:b/>
          <w:bCs/>
        </w:rPr>
        <w:t>I</w:t>
      </w:r>
      <w:r w:rsidR="000253B8" w:rsidRPr="000253B8">
        <w:rPr>
          <w:b/>
          <w:bCs/>
        </w:rPr>
        <w:t xml:space="preserve">X – Regulamin procedury odwoławczej </w:t>
      </w:r>
      <w:r w:rsidR="001B7985">
        <w:rPr>
          <w:b/>
          <w:bCs/>
        </w:rPr>
        <w:t xml:space="preserve">wraz ze wzorem protestu </w:t>
      </w:r>
      <w:r w:rsidR="000253B8" w:rsidRPr="000253B8">
        <w:rPr>
          <w:b/>
          <w:bCs/>
        </w:rPr>
        <w:t xml:space="preserve">dla IZ RPOWŚ na lata 2014-2020 </w:t>
      </w:r>
    </w:p>
    <w:p w:rsidR="000253B8" w:rsidRPr="000253B8" w:rsidRDefault="000253B8" w:rsidP="000253B8">
      <w:pPr>
        <w:pStyle w:val="Nagwek"/>
        <w:spacing w:line="276" w:lineRule="auto"/>
        <w:rPr>
          <w:b/>
          <w:bCs/>
        </w:rPr>
      </w:pPr>
    </w:p>
    <w:p w:rsidR="000253B8" w:rsidRPr="000253B8" w:rsidRDefault="000253B8" w:rsidP="000253B8">
      <w:pPr>
        <w:pStyle w:val="Nagwek"/>
        <w:spacing w:line="276" w:lineRule="auto"/>
      </w:pPr>
    </w:p>
    <w:p w:rsidR="004021FE" w:rsidRPr="000253B8" w:rsidRDefault="004021FE" w:rsidP="000253B8">
      <w:pPr>
        <w:pStyle w:val="Default"/>
        <w:spacing w:line="276" w:lineRule="auto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0253B8">
        <w:rPr>
          <w:b/>
          <w:bCs/>
          <w:color w:val="auto"/>
          <w:sz w:val="28"/>
          <w:szCs w:val="28"/>
        </w:rPr>
        <w:t>Zasady wnoszenia i rozpatrywania protestów</w:t>
      </w:r>
    </w:p>
    <w:p w:rsidR="004021FE" w:rsidRPr="000253B8" w:rsidRDefault="004021FE" w:rsidP="000253B8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4021FE" w:rsidRPr="000253B8" w:rsidRDefault="004021FE" w:rsidP="000253B8">
      <w:pPr>
        <w:pStyle w:val="Default"/>
        <w:spacing w:line="276" w:lineRule="auto"/>
        <w:jc w:val="center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§ 1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Podstawa prawna</w:t>
      </w:r>
    </w:p>
    <w:p w:rsidR="001D283E" w:rsidRDefault="001D283E" w:rsidP="000253B8">
      <w:pPr>
        <w:pStyle w:val="Default"/>
        <w:spacing w:after="120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Podstawę prawną do wniesienia protestu w ramach Regionalnego Programu Operacyjnego Województwa </w:t>
      </w:r>
      <w:r w:rsidR="00790F92" w:rsidRPr="000253B8">
        <w:rPr>
          <w:color w:val="auto"/>
        </w:rPr>
        <w:t>Świętokrzyskiego</w:t>
      </w:r>
      <w:r w:rsidRPr="000253B8">
        <w:rPr>
          <w:color w:val="auto"/>
        </w:rPr>
        <w:t xml:space="preserve"> 2014-2020 (dalej RPOW</w:t>
      </w:r>
      <w:r w:rsidR="00790F92" w:rsidRPr="000253B8">
        <w:rPr>
          <w:color w:val="auto"/>
        </w:rPr>
        <w:t>Ś</w:t>
      </w:r>
      <w:r w:rsidRPr="000253B8">
        <w:rPr>
          <w:color w:val="auto"/>
        </w:rPr>
        <w:t xml:space="preserve">) stanowi ustawa z dnia 11 lipca </w:t>
      </w:r>
      <w:r w:rsidR="00ED3D08" w:rsidRPr="000253B8">
        <w:rPr>
          <w:color w:val="auto"/>
        </w:rPr>
        <w:br/>
      </w:r>
      <w:r w:rsidRPr="000253B8">
        <w:rPr>
          <w:color w:val="auto"/>
        </w:rPr>
        <w:t xml:space="preserve">2014 r. o zasadach realizacji programów w zakresie polityki spójności finansowanych </w:t>
      </w:r>
      <w:r w:rsidR="00ED3D08" w:rsidRPr="000253B8">
        <w:rPr>
          <w:color w:val="auto"/>
        </w:rPr>
        <w:br/>
      </w:r>
      <w:r w:rsidRPr="000253B8">
        <w:rPr>
          <w:color w:val="auto"/>
        </w:rPr>
        <w:t>w perspektywie finansowej 2014-2020</w:t>
      </w:r>
      <w:r w:rsidR="006008F5">
        <w:rPr>
          <w:color w:val="auto"/>
        </w:rPr>
        <w:t xml:space="preserve"> </w:t>
      </w:r>
      <w:r w:rsidRPr="000253B8">
        <w:rPr>
          <w:color w:val="auto"/>
        </w:rPr>
        <w:t xml:space="preserve">zwana dalej: ustawą. </w:t>
      </w:r>
    </w:p>
    <w:p w:rsidR="006008F5" w:rsidRDefault="006008F5" w:rsidP="000253B8">
      <w:pPr>
        <w:pStyle w:val="Default"/>
        <w:spacing w:after="120" w:line="276" w:lineRule="auto"/>
        <w:jc w:val="both"/>
        <w:rPr>
          <w:color w:val="auto"/>
        </w:rPr>
      </w:pPr>
    </w:p>
    <w:p w:rsidR="00B15954" w:rsidRPr="000253B8" w:rsidRDefault="00B15954" w:rsidP="000253B8">
      <w:pPr>
        <w:pStyle w:val="Default"/>
        <w:spacing w:after="120" w:line="276" w:lineRule="auto"/>
        <w:jc w:val="both"/>
        <w:rPr>
          <w:color w:val="auto"/>
        </w:rPr>
      </w:pPr>
    </w:p>
    <w:p w:rsidR="001D283E" w:rsidRPr="000253B8" w:rsidRDefault="001D283E" w:rsidP="000253B8">
      <w:pPr>
        <w:pStyle w:val="Default"/>
        <w:spacing w:after="120"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§ 2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Zakres zastosowania Regulaminu</w:t>
      </w:r>
    </w:p>
    <w:p w:rsidR="001D283E" w:rsidRPr="000253B8" w:rsidRDefault="001D283E" w:rsidP="000253B8">
      <w:pPr>
        <w:pStyle w:val="Default"/>
        <w:numPr>
          <w:ilvl w:val="0"/>
          <w:numId w:val="21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>Niniejszy Regulamin określa terminy i tryb odwoływania się od negatywnego wyniku oceny projektów składanych w ramach RPOW</w:t>
      </w:r>
      <w:r w:rsidR="00790F92" w:rsidRPr="000253B8">
        <w:rPr>
          <w:color w:val="auto"/>
        </w:rPr>
        <w:t>Ś</w:t>
      </w:r>
      <w:r w:rsidRPr="000253B8">
        <w:rPr>
          <w:color w:val="auto"/>
        </w:rPr>
        <w:t>.</w:t>
      </w:r>
    </w:p>
    <w:p w:rsidR="001D283E" w:rsidRDefault="001D283E" w:rsidP="000253B8">
      <w:pPr>
        <w:pStyle w:val="Default"/>
        <w:numPr>
          <w:ilvl w:val="0"/>
          <w:numId w:val="21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>Niniejszy regulamin ma zastosowanie dla projektów ocenianych w ramach konkursu</w:t>
      </w:r>
      <w:r w:rsidR="00A1006D" w:rsidRPr="000253B8">
        <w:rPr>
          <w:color w:val="auto"/>
        </w:rPr>
        <w:t>.</w:t>
      </w:r>
      <w:r w:rsidRPr="000253B8">
        <w:rPr>
          <w:color w:val="auto"/>
        </w:rPr>
        <w:t xml:space="preserve"> </w:t>
      </w:r>
    </w:p>
    <w:p w:rsidR="00B15954" w:rsidRPr="000253B8" w:rsidRDefault="00B15954" w:rsidP="00B15954">
      <w:pPr>
        <w:pStyle w:val="Default"/>
        <w:spacing w:after="60" w:line="276" w:lineRule="auto"/>
        <w:ind w:left="357"/>
        <w:jc w:val="both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§ 3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Środek odwoławczy</w:t>
      </w:r>
    </w:p>
    <w:p w:rsidR="00F97843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 xml:space="preserve">W przypadku negatywnej oceny projektu Wnioskodawcy przysługuje prawo wniesienia protestu w celu ponownego sprawdzenia złożonego wniosku w zakresie spełniania kryteriów wyboru projektów. </w:t>
      </w:r>
    </w:p>
    <w:p w:rsidR="001D283E" w:rsidRDefault="001D283E" w:rsidP="000253B8">
      <w:pPr>
        <w:pStyle w:val="Default"/>
        <w:numPr>
          <w:ilvl w:val="0"/>
          <w:numId w:val="22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 xml:space="preserve">Protest jest jedynym środkiem odwoławczym na etapie przedsądowym. </w:t>
      </w:r>
    </w:p>
    <w:p w:rsidR="00B15954" w:rsidRPr="000253B8" w:rsidRDefault="00B15954" w:rsidP="00B15954">
      <w:pPr>
        <w:pStyle w:val="Default"/>
        <w:spacing w:after="60" w:line="276" w:lineRule="auto"/>
        <w:ind w:left="357"/>
        <w:jc w:val="both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§ 4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Sposób złożenia protestu</w:t>
      </w:r>
    </w:p>
    <w:p w:rsidR="00F97843" w:rsidRPr="000253B8" w:rsidRDefault="001D283E" w:rsidP="000253B8">
      <w:pPr>
        <w:pStyle w:val="Default"/>
        <w:numPr>
          <w:ilvl w:val="0"/>
          <w:numId w:val="23"/>
        </w:numPr>
        <w:spacing w:after="60" w:line="276" w:lineRule="auto"/>
        <w:ind w:left="357"/>
        <w:jc w:val="both"/>
        <w:rPr>
          <w:color w:val="auto"/>
        </w:rPr>
      </w:pPr>
      <w:r w:rsidRPr="000253B8">
        <w:rPr>
          <w:color w:val="auto"/>
        </w:rPr>
        <w:t xml:space="preserve">Protest jest wnoszony w terminie 14 dni od dnia doręczenia pisemnej informacji </w:t>
      </w:r>
      <w:r w:rsidR="00ED3D08" w:rsidRPr="000253B8">
        <w:rPr>
          <w:color w:val="auto"/>
        </w:rPr>
        <w:br/>
      </w:r>
      <w:r w:rsidRPr="000253B8">
        <w:rPr>
          <w:color w:val="auto"/>
        </w:rPr>
        <w:t xml:space="preserve">o zakończeniu oceny projektu i jej wyniku wraz z uzasadnieniem oceny i podaniem liczby punktów otrzymanych przez projekt lub informacji o spełnieniu albo niespełnieniu kryteriów wyboru projektów, zgodnie z zawartym w informacji pouczeniem (art. 46 ust. 5 ustawy). </w:t>
      </w:r>
    </w:p>
    <w:p w:rsidR="001D283E" w:rsidRPr="000253B8" w:rsidRDefault="001D283E" w:rsidP="000253B8">
      <w:pPr>
        <w:pStyle w:val="Default"/>
        <w:numPr>
          <w:ilvl w:val="0"/>
          <w:numId w:val="23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lastRenderedPageBreak/>
        <w:t xml:space="preserve">Protest jest wnoszony w formie pisemnej i zawiera (art. 54 ust. 2 ustawy): </w:t>
      </w:r>
    </w:p>
    <w:p w:rsidR="001D283E" w:rsidRPr="000253B8" w:rsidRDefault="001D283E" w:rsidP="000253B8">
      <w:pPr>
        <w:pStyle w:val="Default"/>
        <w:numPr>
          <w:ilvl w:val="0"/>
          <w:numId w:val="24"/>
        </w:numPr>
        <w:spacing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 xml:space="preserve">oznaczenie instytucji właściwej do rozpatrzenia protestu; </w:t>
      </w:r>
    </w:p>
    <w:p w:rsidR="001D283E" w:rsidRPr="000253B8" w:rsidRDefault="001D283E" w:rsidP="000253B8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0253B8">
        <w:rPr>
          <w:color w:val="auto"/>
        </w:rPr>
        <w:t xml:space="preserve">oznaczenie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nioskodawcy; </w:t>
      </w:r>
    </w:p>
    <w:p w:rsidR="001D283E" w:rsidRPr="000253B8" w:rsidRDefault="001D283E" w:rsidP="000253B8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0253B8">
        <w:rPr>
          <w:color w:val="auto"/>
        </w:rPr>
        <w:t xml:space="preserve">numer wniosku o dofinansowanie projektu; </w:t>
      </w:r>
    </w:p>
    <w:p w:rsidR="001D283E" w:rsidRPr="000253B8" w:rsidRDefault="001D283E" w:rsidP="000253B8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0253B8">
        <w:rPr>
          <w:color w:val="auto"/>
        </w:rPr>
        <w:t xml:space="preserve">wskazanie kryteriów wyboru projektów, z których oceną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nioskodawca się nie zgadza, wraz z uzasadnieniem; </w:t>
      </w:r>
    </w:p>
    <w:p w:rsidR="001D283E" w:rsidRPr="000253B8" w:rsidRDefault="001D283E" w:rsidP="000253B8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0253B8">
        <w:rPr>
          <w:color w:val="auto"/>
        </w:rPr>
        <w:t xml:space="preserve">wskazanie zarzutów o charakterze proceduralnym w zakresie przeprowadzonej oceny, jeżeli zdaniem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naruszenia takie miały miejsce, wraz z uzasadnieniem; </w:t>
      </w:r>
    </w:p>
    <w:p w:rsidR="001D283E" w:rsidRPr="000253B8" w:rsidRDefault="001D283E" w:rsidP="000253B8">
      <w:pPr>
        <w:pStyle w:val="Default"/>
        <w:numPr>
          <w:ilvl w:val="0"/>
          <w:numId w:val="24"/>
        </w:numPr>
        <w:spacing w:after="12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 xml:space="preserve">podpis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lub osoby upoważnionej do jego reprezentowania, </w:t>
      </w:r>
      <w:r w:rsidR="00962D9B">
        <w:rPr>
          <w:color w:val="auto"/>
        </w:rPr>
        <w:br/>
      </w:r>
      <w:r w:rsidRPr="000253B8">
        <w:rPr>
          <w:color w:val="auto"/>
        </w:rPr>
        <w:t xml:space="preserve">z załączeniem oryginału lub kopii dokumentu poświadczającego umocowanie takiej osoby do reprezentowania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nioskodawcy. 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left="363" w:hanging="357"/>
        <w:jc w:val="both"/>
        <w:rPr>
          <w:color w:val="auto"/>
        </w:rPr>
      </w:pPr>
      <w:r w:rsidRPr="000253B8">
        <w:rPr>
          <w:color w:val="auto"/>
        </w:rPr>
        <w:t>Protest wnoszony</w:t>
      </w:r>
      <w:r w:rsidR="00194649">
        <w:rPr>
          <w:color w:val="auto"/>
        </w:rPr>
        <w:t xml:space="preserve"> </w:t>
      </w:r>
      <w:r w:rsidRPr="000253B8">
        <w:rPr>
          <w:color w:val="auto"/>
        </w:rPr>
        <w:t xml:space="preserve">jest </w:t>
      </w:r>
      <w:r w:rsidR="00194649">
        <w:rPr>
          <w:color w:val="auto"/>
        </w:rPr>
        <w:t>do</w:t>
      </w:r>
      <w:r w:rsidRPr="000253B8">
        <w:rPr>
          <w:color w:val="auto"/>
        </w:rPr>
        <w:t xml:space="preserve"> </w:t>
      </w:r>
      <w:r w:rsidR="00AD483E" w:rsidRPr="000253B8">
        <w:rPr>
          <w:color w:val="auto"/>
        </w:rPr>
        <w:t>Departament</w:t>
      </w:r>
      <w:r w:rsidR="001C1181" w:rsidRPr="000253B8">
        <w:rPr>
          <w:color w:val="auto"/>
        </w:rPr>
        <w:t>u</w:t>
      </w:r>
      <w:r w:rsidR="00AD483E" w:rsidRPr="000253B8">
        <w:rPr>
          <w:color w:val="auto"/>
        </w:rPr>
        <w:t xml:space="preserve"> Wdrażania Europejskiego Funduszu Społecznego</w:t>
      </w:r>
      <w:r w:rsidR="00E67FEF">
        <w:rPr>
          <w:color w:val="auto"/>
        </w:rPr>
        <w:t xml:space="preserve"> (DWEFS)</w:t>
      </w:r>
      <w:r w:rsidR="004738C5">
        <w:rPr>
          <w:color w:val="auto"/>
        </w:rPr>
        <w:t xml:space="preserve"> </w:t>
      </w:r>
      <w:r w:rsidR="00194649">
        <w:rPr>
          <w:color w:val="auto"/>
        </w:rPr>
        <w:t xml:space="preserve"> </w:t>
      </w:r>
      <w:r w:rsidRPr="000253B8">
        <w:rPr>
          <w:color w:val="auto"/>
        </w:rPr>
        <w:t xml:space="preserve"> 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left="363" w:hanging="357"/>
        <w:jc w:val="both"/>
        <w:rPr>
          <w:color w:val="auto"/>
        </w:rPr>
      </w:pPr>
      <w:r w:rsidRPr="000253B8">
        <w:rPr>
          <w:color w:val="auto"/>
        </w:rPr>
        <w:t xml:space="preserve">Protest wnoszony jest w formie pisemnej: </w:t>
      </w:r>
    </w:p>
    <w:p w:rsidR="001D283E" w:rsidRPr="000253B8" w:rsidRDefault="001D283E" w:rsidP="000253B8">
      <w:pPr>
        <w:pStyle w:val="Default"/>
        <w:numPr>
          <w:ilvl w:val="0"/>
          <w:numId w:val="25"/>
        </w:numPr>
        <w:spacing w:line="276" w:lineRule="auto"/>
        <w:jc w:val="both"/>
        <w:rPr>
          <w:color w:val="auto"/>
        </w:rPr>
      </w:pPr>
      <w:r w:rsidRPr="000253B8">
        <w:rPr>
          <w:color w:val="auto"/>
        </w:rPr>
        <w:t xml:space="preserve">osobiście – </w:t>
      </w:r>
      <w:r w:rsidR="004021FE" w:rsidRPr="000253B8">
        <w:rPr>
          <w:color w:val="auto"/>
        </w:rPr>
        <w:t>Sekretariat I piętro, pok. 105</w:t>
      </w:r>
      <w:r w:rsidRPr="000253B8">
        <w:rPr>
          <w:color w:val="auto"/>
        </w:rPr>
        <w:t xml:space="preserve">, </w:t>
      </w:r>
    </w:p>
    <w:p w:rsidR="001D283E" w:rsidRPr="000253B8" w:rsidRDefault="001D283E" w:rsidP="000253B8">
      <w:pPr>
        <w:pStyle w:val="Default"/>
        <w:numPr>
          <w:ilvl w:val="0"/>
          <w:numId w:val="25"/>
        </w:numPr>
        <w:spacing w:line="276" w:lineRule="auto"/>
        <w:jc w:val="both"/>
        <w:rPr>
          <w:color w:val="auto"/>
        </w:rPr>
      </w:pPr>
      <w:r w:rsidRPr="000253B8">
        <w:rPr>
          <w:color w:val="auto"/>
        </w:rPr>
        <w:t xml:space="preserve">za pośrednictwem operatora pocztowego na adres: </w:t>
      </w:r>
    </w:p>
    <w:p w:rsidR="00AF51F0" w:rsidRPr="000253B8" w:rsidRDefault="00AF51F0" w:rsidP="000253B8">
      <w:pPr>
        <w:pStyle w:val="Default"/>
        <w:spacing w:line="276" w:lineRule="auto"/>
        <w:ind w:left="720"/>
        <w:jc w:val="both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Urząd Marszałkowski Województwa Ś</w:t>
      </w:r>
      <w:r w:rsidR="00ED56F0" w:rsidRPr="000253B8">
        <w:rPr>
          <w:b/>
          <w:bCs/>
          <w:color w:val="auto"/>
        </w:rPr>
        <w:t>więtokrzyskiego</w:t>
      </w:r>
    </w:p>
    <w:p w:rsidR="001D283E" w:rsidRPr="000253B8" w:rsidRDefault="00ED56F0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Departament Wdrażania Europejskiego Funduszu Społecznego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b/>
          <w:bCs/>
          <w:color w:val="auto"/>
        </w:rPr>
      </w:pPr>
      <w:r w:rsidRPr="000253B8">
        <w:rPr>
          <w:b/>
          <w:bCs/>
          <w:color w:val="auto"/>
        </w:rPr>
        <w:t xml:space="preserve">ul. </w:t>
      </w:r>
      <w:r w:rsidR="00DB04CD">
        <w:rPr>
          <w:b/>
          <w:bCs/>
          <w:color w:val="auto"/>
        </w:rPr>
        <w:t xml:space="preserve">H. </w:t>
      </w:r>
      <w:r w:rsidR="00ED56F0" w:rsidRPr="000253B8">
        <w:rPr>
          <w:b/>
          <w:bCs/>
          <w:color w:val="auto"/>
        </w:rPr>
        <w:t>Sienkiewicza</w:t>
      </w:r>
      <w:r w:rsidR="008A08AB" w:rsidRPr="000253B8">
        <w:rPr>
          <w:b/>
          <w:bCs/>
          <w:color w:val="auto"/>
        </w:rPr>
        <w:t xml:space="preserve"> 27</w:t>
      </w:r>
      <w:r w:rsidRPr="000253B8">
        <w:rPr>
          <w:b/>
          <w:bCs/>
          <w:color w:val="auto"/>
        </w:rPr>
        <w:t xml:space="preserve">, </w:t>
      </w:r>
      <w:r w:rsidR="008A08AB" w:rsidRPr="000253B8">
        <w:rPr>
          <w:b/>
          <w:bCs/>
          <w:color w:val="auto"/>
        </w:rPr>
        <w:t>25-007 Kielce</w:t>
      </w:r>
    </w:p>
    <w:p w:rsidR="00825D19" w:rsidRPr="000253B8" w:rsidRDefault="00825D19" w:rsidP="000253B8">
      <w:pPr>
        <w:pStyle w:val="Default"/>
        <w:spacing w:line="276" w:lineRule="auto"/>
        <w:jc w:val="center"/>
        <w:rPr>
          <w:color w:val="auto"/>
        </w:rPr>
      </w:pPr>
    </w:p>
    <w:p w:rsidR="0097393B" w:rsidRPr="000253B8" w:rsidRDefault="001D283E" w:rsidP="0097393B">
      <w:pPr>
        <w:pStyle w:val="Default"/>
        <w:numPr>
          <w:ilvl w:val="0"/>
          <w:numId w:val="22"/>
        </w:numPr>
        <w:spacing w:after="60" w:line="276" w:lineRule="auto"/>
        <w:ind w:left="363" w:hanging="357"/>
        <w:jc w:val="both"/>
        <w:rPr>
          <w:color w:val="auto"/>
        </w:rPr>
      </w:pPr>
      <w:r w:rsidRPr="0097393B">
        <w:rPr>
          <w:color w:val="auto"/>
        </w:rPr>
        <w:t>Protest nie może być złożony za pomocą faksu</w:t>
      </w:r>
      <w:r w:rsidR="004B48D8" w:rsidRPr="0097393B">
        <w:rPr>
          <w:color w:val="auto"/>
        </w:rPr>
        <w:t>.</w:t>
      </w:r>
      <w:r w:rsidRPr="0097393B">
        <w:rPr>
          <w:color w:val="auto"/>
        </w:rPr>
        <w:t xml:space="preserve"> </w:t>
      </w:r>
      <w:r w:rsidR="0097393B">
        <w:rPr>
          <w:color w:val="auto"/>
        </w:rPr>
        <w:t>Protest może zostać złożony za pomocą platformy ePUAP (drogą elektroniczną)</w:t>
      </w:r>
    </w:p>
    <w:p w:rsidR="001D283E" w:rsidRPr="0097393B" w:rsidRDefault="001D283E" w:rsidP="0097393B">
      <w:pPr>
        <w:pStyle w:val="Default"/>
        <w:numPr>
          <w:ilvl w:val="0"/>
          <w:numId w:val="22"/>
        </w:numPr>
        <w:spacing w:after="60" w:line="276" w:lineRule="auto"/>
        <w:ind w:left="363" w:hanging="357"/>
        <w:jc w:val="both"/>
        <w:rPr>
          <w:color w:val="auto"/>
        </w:rPr>
      </w:pPr>
      <w:r w:rsidRPr="0097393B">
        <w:rPr>
          <w:color w:val="auto"/>
        </w:rPr>
        <w:t xml:space="preserve">Zgodnie z art. 78 § 1 Kodeksu cywilnego (dalej kc) do zachowania pisemnej formy czynności prawnej wystarcza złożenie własnoręcznego podpisu na dokumencie obejmującym treść oświadczenia woli. Pisma i dokumenty mogą być przekazywane także drogą elektroniczną, przy czym zgodnie z art. 78 § 2 kc oświadczenie woli złożone </w:t>
      </w:r>
      <w:r w:rsidR="00962D9B" w:rsidRPr="0097393B">
        <w:rPr>
          <w:color w:val="auto"/>
        </w:rPr>
        <w:br/>
      </w:r>
      <w:r w:rsidRPr="0097393B">
        <w:rPr>
          <w:color w:val="auto"/>
        </w:rPr>
        <w:t xml:space="preserve">w postaci elektronicznej musi być opatrzone bezpiecznym podpisem elektronicznym weryfikowanym przy pomocy ważnego kwalifikowanego certyfikatu. Dokument przesłany faksem stanowi jedynie kopię oryginału, w związku z czym nie będzie traktowany jako spełniający wymóg pisemności wniesionego środka odwoławczego. 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left="363" w:hanging="357"/>
        <w:jc w:val="both"/>
        <w:rPr>
          <w:color w:val="auto"/>
        </w:rPr>
      </w:pPr>
      <w:r w:rsidRPr="000253B8">
        <w:rPr>
          <w:color w:val="auto"/>
        </w:rPr>
        <w:t>Do obliczania terminów w ramach procedury odwoławczej stosuje się przepisy art. 57 ustawy z dnia 14 czerwca 1960 r. – Kodeks postępowania administracyjnego</w:t>
      </w:r>
      <w:r w:rsidR="00941C24">
        <w:rPr>
          <w:color w:val="auto"/>
        </w:rPr>
        <w:t xml:space="preserve"> (</w:t>
      </w:r>
      <w:r w:rsidRPr="000253B8">
        <w:rPr>
          <w:color w:val="auto"/>
        </w:rPr>
        <w:t xml:space="preserve">dalej: kpa), tj.: </w:t>
      </w:r>
    </w:p>
    <w:p w:rsidR="001D283E" w:rsidRPr="000253B8" w:rsidRDefault="001D283E" w:rsidP="000253B8">
      <w:pPr>
        <w:pStyle w:val="Default"/>
        <w:numPr>
          <w:ilvl w:val="0"/>
          <w:numId w:val="26"/>
        </w:numPr>
        <w:spacing w:after="66" w:line="276" w:lineRule="auto"/>
        <w:jc w:val="both"/>
        <w:rPr>
          <w:color w:val="auto"/>
        </w:rPr>
      </w:pPr>
      <w:r w:rsidRPr="000253B8">
        <w:rPr>
          <w:color w:val="auto"/>
        </w:rPr>
        <w:t>termin oznaczony w dniach kończy się z upływem ostatniego dnia</w:t>
      </w:r>
      <w:r w:rsidR="00EE6B9D" w:rsidRPr="000253B8">
        <w:rPr>
          <w:color w:val="auto"/>
        </w:rPr>
        <w:t>;</w:t>
      </w:r>
      <w:r w:rsidRPr="000253B8">
        <w:rPr>
          <w:color w:val="auto"/>
        </w:rPr>
        <w:t xml:space="preserve"> </w:t>
      </w:r>
    </w:p>
    <w:p w:rsidR="001D283E" w:rsidRPr="000253B8" w:rsidRDefault="001D283E" w:rsidP="000253B8">
      <w:pPr>
        <w:pStyle w:val="Default"/>
        <w:numPr>
          <w:ilvl w:val="0"/>
          <w:numId w:val="26"/>
        </w:numPr>
        <w:spacing w:after="66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przy obliczaniu terminów podanych w dniach brane są pod uwagę dni kalendarzowe; </w:t>
      </w:r>
    </w:p>
    <w:p w:rsidR="001D283E" w:rsidRPr="000253B8" w:rsidRDefault="001D283E" w:rsidP="000253B8">
      <w:pPr>
        <w:pStyle w:val="Default"/>
        <w:numPr>
          <w:ilvl w:val="0"/>
          <w:numId w:val="26"/>
        </w:numPr>
        <w:spacing w:after="66" w:line="276" w:lineRule="auto"/>
        <w:jc w:val="both"/>
        <w:rPr>
          <w:color w:val="auto"/>
        </w:rPr>
      </w:pPr>
      <w:r w:rsidRPr="000253B8">
        <w:rPr>
          <w:color w:val="auto"/>
        </w:rPr>
        <w:t>jeżeli początkiem terminu oznaczonego w dniach jest pewne zdarzenie, przy obliczaniu terminu nie uwzględnia się dnia, w którym to zdarzenie na</w:t>
      </w:r>
      <w:r w:rsidR="00EE6B9D" w:rsidRPr="000253B8">
        <w:rPr>
          <w:color w:val="auto"/>
        </w:rPr>
        <w:t>stąpiło;</w:t>
      </w:r>
    </w:p>
    <w:p w:rsidR="001D283E" w:rsidRPr="000253B8" w:rsidRDefault="001D283E" w:rsidP="000253B8">
      <w:pPr>
        <w:pStyle w:val="Default"/>
        <w:numPr>
          <w:ilvl w:val="0"/>
          <w:numId w:val="26"/>
        </w:numPr>
        <w:spacing w:after="66" w:line="276" w:lineRule="auto"/>
        <w:jc w:val="both"/>
        <w:rPr>
          <w:color w:val="auto"/>
        </w:rPr>
      </w:pPr>
      <w:r w:rsidRPr="000253B8">
        <w:rPr>
          <w:color w:val="auto"/>
        </w:rPr>
        <w:t>jeżeli koniec terminu do wykonania czynności przypada na dzień uznany ustawowo za wolny od pracy lub w sobotę, termin upływa następnego dnia następującego po dn</w:t>
      </w:r>
      <w:r w:rsidR="00EE6B9D" w:rsidRPr="000253B8">
        <w:rPr>
          <w:color w:val="auto"/>
        </w:rPr>
        <w:t>iu lub dniach wolnych od pracy.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left="363" w:hanging="357"/>
        <w:jc w:val="both"/>
        <w:rPr>
          <w:color w:val="auto"/>
        </w:rPr>
      </w:pPr>
      <w:r w:rsidRPr="000253B8">
        <w:rPr>
          <w:color w:val="auto"/>
        </w:rPr>
        <w:t xml:space="preserve">Określone w Regulaminie terminy uznaje się za zachowane, jeżeli przed ich upływem pismo wpłynie do </w:t>
      </w:r>
      <w:r w:rsidR="004738C5">
        <w:rPr>
          <w:color w:val="auto"/>
        </w:rPr>
        <w:t xml:space="preserve">DWEFS </w:t>
      </w:r>
      <w:r w:rsidRPr="000253B8">
        <w:rPr>
          <w:color w:val="auto"/>
        </w:rPr>
        <w:t xml:space="preserve">lub zostanie nadane w polskiej placówce pocztowej operatora </w:t>
      </w:r>
      <w:r w:rsidRPr="000253B8">
        <w:rPr>
          <w:color w:val="auto"/>
        </w:rPr>
        <w:lastRenderedPageBreak/>
        <w:t xml:space="preserve">wyznaczonego w rozumieniu ustawy z dnia 23 listopada 2012 r. </w:t>
      </w:r>
      <w:r w:rsidR="00962D9B">
        <w:rPr>
          <w:color w:val="auto"/>
        </w:rPr>
        <w:t xml:space="preserve">– </w:t>
      </w:r>
      <w:r w:rsidRPr="000253B8">
        <w:rPr>
          <w:color w:val="auto"/>
        </w:rPr>
        <w:t xml:space="preserve">Prawo pocztowe (tj. Poczta Polska S.A.), zgodnie z art. 57 § 5 kpa. 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left="363" w:hanging="357"/>
        <w:jc w:val="both"/>
        <w:rPr>
          <w:color w:val="auto"/>
        </w:rPr>
      </w:pPr>
      <w:r w:rsidRPr="000253B8">
        <w:rPr>
          <w:color w:val="auto"/>
        </w:rPr>
        <w:t xml:space="preserve">Korespondencję dotyczącą protestu doręcza się na adres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wskazany </w:t>
      </w:r>
      <w:r w:rsidR="00ED3D08" w:rsidRPr="000253B8">
        <w:rPr>
          <w:color w:val="auto"/>
        </w:rPr>
        <w:br/>
      </w:r>
      <w:r w:rsidRPr="000253B8">
        <w:rPr>
          <w:color w:val="auto"/>
        </w:rPr>
        <w:t xml:space="preserve">w złożonym proteście. O zmianie adresu </w:t>
      </w:r>
      <w:r w:rsidR="00941C24">
        <w:rPr>
          <w:color w:val="auto"/>
        </w:rPr>
        <w:t>W</w:t>
      </w:r>
      <w:r w:rsidRPr="000253B8">
        <w:rPr>
          <w:color w:val="auto"/>
        </w:rPr>
        <w:t>nioskodawca powinien powiadomić</w:t>
      </w:r>
      <w:r w:rsidR="008C1195">
        <w:rPr>
          <w:color w:val="auto"/>
        </w:rPr>
        <w:t xml:space="preserve"> </w:t>
      </w:r>
      <w:r w:rsidR="004738C5">
        <w:rPr>
          <w:color w:val="auto"/>
        </w:rPr>
        <w:t>DWEFS</w:t>
      </w:r>
      <w:r w:rsidRPr="000253B8">
        <w:rPr>
          <w:color w:val="auto"/>
        </w:rPr>
        <w:t xml:space="preserve">, w terminie 7 dni od zmiany adresu, pod rygorem uznania, że korespondencja przekazana na jego dotychczasowy adres, została skutecznie doręczona. 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left="363" w:hanging="357"/>
        <w:jc w:val="both"/>
        <w:rPr>
          <w:color w:val="auto"/>
        </w:rPr>
      </w:pPr>
      <w:r w:rsidRPr="000253B8">
        <w:rPr>
          <w:color w:val="auto"/>
        </w:rPr>
        <w:t>IZ RPOW</w:t>
      </w:r>
      <w:r w:rsidR="008A08AB" w:rsidRPr="000253B8">
        <w:rPr>
          <w:color w:val="auto"/>
        </w:rPr>
        <w:t>Ś</w:t>
      </w:r>
      <w:r w:rsidRPr="000253B8">
        <w:rPr>
          <w:color w:val="auto"/>
        </w:rPr>
        <w:t xml:space="preserve"> doręc</w:t>
      </w:r>
      <w:r w:rsidR="00AE341F">
        <w:rPr>
          <w:color w:val="auto"/>
        </w:rPr>
        <w:t>za pisma zgodnie z art. 39 kpa lub 39</w:t>
      </w:r>
      <w:r w:rsidR="00AE341F">
        <w:rPr>
          <w:color w:val="auto"/>
          <w:vertAlign w:val="superscript"/>
        </w:rPr>
        <w:t>2</w:t>
      </w:r>
      <w:r w:rsidR="00AE341F">
        <w:rPr>
          <w:color w:val="auto"/>
        </w:rPr>
        <w:t xml:space="preserve"> kpa.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left="363" w:hanging="357"/>
        <w:jc w:val="both"/>
        <w:rPr>
          <w:color w:val="auto"/>
        </w:rPr>
      </w:pPr>
      <w:r w:rsidRPr="000253B8">
        <w:rPr>
          <w:color w:val="auto"/>
        </w:rPr>
        <w:t xml:space="preserve">Jeżeli pismo zostanie zwrócone z adnotacją „nie podjęto w terminie” lub równoznaczną, pismo uznaje się za doręczone zgodnie z art. 44 kpa. 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left="363" w:hanging="357"/>
        <w:jc w:val="both"/>
        <w:rPr>
          <w:color w:val="auto"/>
        </w:rPr>
      </w:pPr>
      <w:r w:rsidRPr="000253B8">
        <w:rPr>
          <w:color w:val="auto"/>
        </w:rPr>
        <w:t xml:space="preserve">W przypadku ustanowienia przez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nioskodawcę dwóch lub więcej pełnomocników pisma </w:t>
      </w:r>
      <w:r w:rsidR="00ED3D08" w:rsidRPr="000253B8">
        <w:rPr>
          <w:color w:val="auto"/>
        </w:rPr>
        <w:br/>
      </w:r>
      <w:r w:rsidRPr="000253B8">
        <w:rPr>
          <w:color w:val="auto"/>
        </w:rPr>
        <w:t xml:space="preserve">w toku postępowania odwoławczego doręcza się jednemu z nich. W sytuacji, w której Wnioskodawca wskazał, który z ustanowionych pełnomocników został przez niego ustanowiony do doręczeń, pisma doręcza się ustanowionemu do doręczeń pełnomocnikowi. 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left="363" w:hanging="357"/>
        <w:jc w:val="both"/>
        <w:rPr>
          <w:color w:val="auto"/>
        </w:rPr>
      </w:pPr>
      <w:r w:rsidRPr="000253B8">
        <w:rPr>
          <w:color w:val="auto"/>
        </w:rPr>
        <w:t xml:space="preserve">W przypadku wniesienia protestu niespełniającego wymogów formalnych, o których mowa w ust. 2, lub zawierającego oczywiste omyłki, </w:t>
      </w:r>
      <w:r w:rsidR="004738C5">
        <w:rPr>
          <w:color w:val="auto"/>
        </w:rPr>
        <w:t>DWEFS</w:t>
      </w:r>
      <w:r w:rsidR="008C1195">
        <w:rPr>
          <w:color w:val="auto"/>
        </w:rPr>
        <w:t xml:space="preserve"> </w:t>
      </w:r>
      <w:r w:rsidRPr="000253B8">
        <w:rPr>
          <w:color w:val="auto"/>
        </w:rPr>
        <w:t xml:space="preserve">wzywa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nioskodawcę do jego uzupełnienia lub poprawienia oczywistych omyłek, w terminie 7 dni od dnia otrzymania wezwania, pod rygorem pozostawienia protestu bez rozpatrzenia (art. 54 ust. 3 ustawy). 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left="363" w:hanging="357"/>
        <w:jc w:val="both"/>
        <w:rPr>
          <w:color w:val="auto"/>
        </w:rPr>
      </w:pPr>
      <w:r w:rsidRPr="000253B8">
        <w:rPr>
          <w:color w:val="auto"/>
        </w:rPr>
        <w:t xml:space="preserve">Za oczywiste omyłki uznaje się błędy rachunkowe w wykonaniu działania matematycznego, błędy pisarskie oraz inne oczywiste omyłki rozumiane jako: omyłki widoczne, polegające na niezamierzonym przekręceniu, opuszczeniu wyrazu, błędy logiczne lub mające postać innej niedokładności przypadkowej bądź też wady procesu myślowo-redakcyjnego. Oczywista omyłka powinna być możliwa do poprawienia bez odwoływania się do innych dokumentów, a jej poprawa nie wywołuje zmiany merytorycznej treści protestu. 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 xml:space="preserve">Uzupełnienie protestu, o którym mowa w ust. 15, może nastąpić wyłącznie w odniesieniu do wymogów formalnych, tj. oznaczenie instytucji właściwej do rozpatrzenia protestu, oznaczenie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nioskodawcy, numer wniosku o dofinansowanie projektu, podpis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lub osoby upoważnionej do jego reprezentowania, z załączeniem oryginału lub kopii dokumentu poświadczającego umocowanie takiej osoby do reprezentowania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(art. 54 ust. 4 ustawy). 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 xml:space="preserve">Wezwanie, o którym mowa w ust. 15, wstrzymuje bieg terminu, o którym mowa w § 7 ust. 1 (art. 54 ust. 5 ustawy). </w:t>
      </w:r>
    </w:p>
    <w:p w:rsidR="001D283E" w:rsidRPr="000253B8" w:rsidRDefault="001D283E" w:rsidP="000253B8">
      <w:pPr>
        <w:pStyle w:val="Default"/>
        <w:numPr>
          <w:ilvl w:val="0"/>
          <w:numId w:val="22"/>
        </w:numPr>
        <w:spacing w:after="6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 xml:space="preserve">Na prawo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do wniesienia protestu nie wpływa negatywnie błędne pouczenie lub brak pouczenia, o którym mowa w ust. 1 (art. 54 ust. 6 ustawy). </w:t>
      </w:r>
    </w:p>
    <w:p w:rsidR="001D283E" w:rsidRDefault="001D283E" w:rsidP="000253B8">
      <w:pPr>
        <w:pStyle w:val="Default"/>
        <w:spacing w:line="276" w:lineRule="auto"/>
        <w:rPr>
          <w:color w:val="auto"/>
        </w:rPr>
      </w:pPr>
    </w:p>
    <w:p w:rsidR="006008F5" w:rsidRPr="000253B8" w:rsidRDefault="006008F5" w:rsidP="000253B8">
      <w:pPr>
        <w:pStyle w:val="Default"/>
        <w:spacing w:line="276" w:lineRule="auto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§ 5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Zakres przedmiotowy</w:t>
      </w:r>
    </w:p>
    <w:p w:rsidR="001D283E" w:rsidRPr="000253B8" w:rsidRDefault="001D283E" w:rsidP="000253B8">
      <w:pPr>
        <w:pStyle w:val="Default"/>
        <w:numPr>
          <w:ilvl w:val="0"/>
          <w:numId w:val="29"/>
        </w:numPr>
        <w:spacing w:after="60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Wnioskodawcy przysługuje prawo do wniesienia protestu w przypadku negatywnej oceny projektu. </w:t>
      </w:r>
    </w:p>
    <w:p w:rsidR="001D283E" w:rsidRPr="000253B8" w:rsidRDefault="001D283E" w:rsidP="000253B8">
      <w:pPr>
        <w:pStyle w:val="Default"/>
        <w:numPr>
          <w:ilvl w:val="0"/>
          <w:numId w:val="29"/>
        </w:numPr>
        <w:spacing w:after="6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lastRenderedPageBreak/>
        <w:t xml:space="preserve">Negatywną oceną projektu jest ocena, w zakresie spełniania przez projekt kryteriów wyboru projektów, w ramach której: </w:t>
      </w:r>
    </w:p>
    <w:p w:rsidR="00825D19" w:rsidRPr="000253B8" w:rsidRDefault="001D283E" w:rsidP="000253B8">
      <w:pPr>
        <w:pStyle w:val="Default"/>
        <w:numPr>
          <w:ilvl w:val="0"/>
          <w:numId w:val="28"/>
        </w:numPr>
        <w:spacing w:after="60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projekt nie uzyskał wymaganej liczby punktów lub nie spełnił kryteriów wyboru projektów, na skutek czego nie może być wybrany do dofinansowania albo skierowany do kolejnego etapu oceny; </w:t>
      </w:r>
    </w:p>
    <w:p w:rsidR="001D283E" w:rsidRPr="000253B8" w:rsidRDefault="001D283E" w:rsidP="000253B8">
      <w:pPr>
        <w:pStyle w:val="Default"/>
        <w:numPr>
          <w:ilvl w:val="0"/>
          <w:numId w:val="28"/>
        </w:numPr>
        <w:spacing w:after="60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projekt uzyskał wymaganą liczbę punktów lub spełnił kryteria wyboru projektów, jednak kwota przeznaczona na dofinansowanie projektów w konkursie nie wystarcza na wybranie go do dofinansowania (zgodnie z art. 53 ust. 2 ustawy). </w:t>
      </w:r>
    </w:p>
    <w:p w:rsidR="001D283E" w:rsidRPr="000253B8" w:rsidRDefault="001D283E" w:rsidP="000253B8">
      <w:pPr>
        <w:pStyle w:val="Default"/>
        <w:numPr>
          <w:ilvl w:val="0"/>
          <w:numId w:val="29"/>
        </w:numPr>
        <w:spacing w:after="6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 xml:space="preserve">W przypadku, gdy kwota przeznaczona na dofinansowanie projektów w konkursie nie wystarcza na wybranie projektu do dofinansowania, okoliczność ta nie może stanowić wyłącznej przesłanki wniesienia protestu (art. 53 ust. 3 ustawy). </w:t>
      </w:r>
    </w:p>
    <w:p w:rsidR="001D283E" w:rsidRPr="000253B8" w:rsidRDefault="001D283E" w:rsidP="000253B8">
      <w:pPr>
        <w:pStyle w:val="Default"/>
        <w:numPr>
          <w:ilvl w:val="0"/>
          <w:numId w:val="29"/>
        </w:numPr>
        <w:spacing w:after="60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Protest może dotyczyć każdego etapu oceny projektu, zarówno formalnej, jak </w:t>
      </w:r>
      <w:r w:rsidR="000253B8">
        <w:rPr>
          <w:color w:val="auto"/>
        </w:rPr>
        <w:br/>
      </w:r>
      <w:r w:rsidRPr="000253B8">
        <w:rPr>
          <w:color w:val="auto"/>
        </w:rPr>
        <w:t xml:space="preserve">i merytorycznej. </w:t>
      </w:r>
    </w:p>
    <w:p w:rsidR="001D283E" w:rsidRPr="000253B8" w:rsidRDefault="001D283E" w:rsidP="000253B8">
      <w:pPr>
        <w:pStyle w:val="Default"/>
        <w:numPr>
          <w:ilvl w:val="0"/>
          <w:numId w:val="29"/>
        </w:numPr>
        <w:spacing w:after="60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Nie dopuszcza się możliwości kwestionowania w ramach protestu zasadności kryteriów oceny. </w:t>
      </w:r>
    </w:p>
    <w:p w:rsidR="001D283E" w:rsidRPr="000253B8" w:rsidRDefault="001D283E" w:rsidP="000253B8">
      <w:pPr>
        <w:pStyle w:val="Default"/>
        <w:numPr>
          <w:ilvl w:val="0"/>
          <w:numId w:val="29"/>
        </w:numPr>
        <w:spacing w:after="60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W przypadku, gdy zdaniem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ocena została przeprowadzona niezgodnie </w:t>
      </w:r>
      <w:r w:rsidR="00ED3D08" w:rsidRPr="000253B8">
        <w:rPr>
          <w:color w:val="auto"/>
        </w:rPr>
        <w:br/>
      </w:r>
      <w:r w:rsidRPr="000253B8">
        <w:rPr>
          <w:color w:val="auto"/>
        </w:rPr>
        <w:t>z więcej niż jednym kryterium oceny, wszystkie te k</w:t>
      </w:r>
      <w:r w:rsidR="007B5B38" w:rsidRPr="000253B8">
        <w:rPr>
          <w:color w:val="auto"/>
        </w:rPr>
        <w:t xml:space="preserve">ryteria należy wskazać w jednym </w:t>
      </w:r>
      <w:r w:rsidRPr="000253B8">
        <w:rPr>
          <w:color w:val="auto"/>
        </w:rPr>
        <w:t xml:space="preserve">proteście. Wszystkie zarzuty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nioskodawcy, dotyczące danego etapu oceny, muszą zostać ujęte w jednym proteście. </w:t>
      </w:r>
    </w:p>
    <w:p w:rsidR="001D283E" w:rsidRDefault="001D283E" w:rsidP="000253B8">
      <w:pPr>
        <w:pStyle w:val="Default"/>
        <w:numPr>
          <w:ilvl w:val="0"/>
          <w:numId w:val="29"/>
        </w:numPr>
        <w:spacing w:after="60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Rozszerzenie zakresu przedmiotowego protestu przez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nioskodawcę w trakcie postępowania odwoławczego jest niedopuszczalne. W takim przypadku </w:t>
      </w:r>
      <w:r w:rsidR="004738C5">
        <w:rPr>
          <w:color w:val="auto"/>
        </w:rPr>
        <w:t xml:space="preserve">DWEFS </w:t>
      </w:r>
      <w:r w:rsidRPr="000253B8">
        <w:rPr>
          <w:color w:val="auto"/>
        </w:rPr>
        <w:t xml:space="preserve">odnosi się do zarzutów przedstawionych w pierwotnie złożonym proteście. </w:t>
      </w:r>
    </w:p>
    <w:p w:rsidR="00B15954" w:rsidRPr="000253B8" w:rsidRDefault="00B15954" w:rsidP="00B15954">
      <w:pPr>
        <w:pStyle w:val="Default"/>
        <w:spacing w:after="60" w:line="276" w:lineRule="auto"/>
        <w:ind w:left="360"/>
        <w:jc w:val="both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§ 6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Pozostawienie protestu bez rozpatrzenia</w:t>
      </w:r>
    </w:p>
    <w:p w:rsidR="001D283E" w:rsidRPr="000253B8" w:rsidRDefault="001D283E" w:rsidP="000253B8">
      <w:pPr>
        <w:pStyle w:val="Default"/>
        <w:numPr>
          <w:ilvl w:val="0"/>
          <w:numId w:val="30"/>
        </w:numPr>
        <w:spacing w:after="6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 xml:space="preserve">Protest pozostawia się bez rozpatrzenia, jeżeli mimo prawidłowego pouczenia został wniesiony: </w:t>
      </w:r>
    </w:p>
    <w:p w:rsidR="001D283E" w:rsidRPr="000253B8" w:rsidRDefault="00EE6B9D" w:rsidP="000253B8">
      <w:pPr>
        <w:pStyle w:val="Default"/>
        <w:numPr>
          <w:ilvl w:val="0"/>
          <w:numId w:val="31"/>
        </w:numPr>
        <w:spacing w:after="6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>po terminie;</w:t>
      </w:r>
    </w:p>
    <w:p w:rsidR="001D283E" w:rsidRPr="000253B8" w:rsidRDefault="001D283E" w:rsidP="000253B8">
      <w:pPr>
        <w:pStyle w:val="Default"/>
        <w:numPr>
          <w:ilvl w:val="0"/>
          <w:numId w:val="31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>przez podmiot wykluczony z możliwości dofinansowania</w:t>
      </w:r>
      <w:r w:rsidR="00EE6B9D" w:rsidRPr="000253B8">
        <w:rPr>
          <w:color w:val="auto"/>
        </w:rPr>
        <w:t>;</w:t>
      </w:r>
      <w:r w:rsidRPr="000253B8">
        <w:rPr>
          <w:color w:val="auto"/>
        </w:rPr>
        <w:t xml:space="preserve"> </w:t>
      </w:r>
    </w:p>
    <w:p w:rsidR="001D283E" w:rsidRPr="000253B8" w:rsidRDefault="001D283E" w:rsidP="000253B8">
      <w:pPr>
        <w:pStyle w:val="Default"/>
        <w:numPr>
          <w:ilvl w:val="0"/>
          <w:numId w:val="31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bez spełnienia wymogów formalnych, tj. bez wskazania kryteriów wyboru projektów, </w:t>
      </w:r>
      <w:r w:rsidR="00AF6068" w:rsidRPr="000253B8">
        <w:rPr>
          <w:color w:val="auto"/>
        </w:rPr>
        <w:br/>
      </w:r>
      <w:r w:rsidRPr="000253B8">
        <w:rPr>
          <w:color w:val="auto"/>
        </w:rPr>
        <w:t xml:space="preserve">z których oceną </w:t>
      </w:r>
      <w:r w:rsidR="00941C24">
        <w:rPr>
          <w:color w:val="auto"/>
        </w:rPr>
        <w:t>W</w:t>
      </w:r>
      <w:r w:rsidRPr="000253B8">
        <w:rPr>
          <w:color w:val="auto"/>
        </w:rPr>
        <w:t>nioskodawca się nie zgadza, wraz z uzasadnieniem (art. 59 ust. 1 ustawy)</w:t>
      </w:r>
      <w:r w:rsidR="00EE6B9D" w:rsidRPr="000253B8">
        <w:rPr>
          <w:color w:val="auto"/>
        </w:rPr>
        <w:t>;</w:t>
      </w:r>
      <w:r w:rsidRPr="000253B8">
        <w:rPr>
          <w:color w:val="auto"/>
        </w:rPr>
        <w:t xml:space="preserve"> </w:t>
      </w:r>
    </w:p>
    <w:p w:rsidR="004B48D8" w:rsidRDefault="001D283E" w:rsidP="000253B8">
      <w:pPr>
        <w:pStyle w:val="Default"/>
        <w:numPr>
          <w:ilvl w:val="0"/>
          <w:numId w:val="31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bez uzupełnienia lub poprawy w proteście oczywistych omyłek, nieprawidłowego uzupełnienia lub poprawy w proteście oczywistych omyłek w terminie 7 dni od </w:t>
      </w:r>
      <w:r w:rsidR="00ED3D08" w:rsidRPr="000253B8">
        <w:rPr>
          <w:color w:val="auto"/>
        </w:rPr>
        <w:t>o</w:t>
      </w:r>
      <w:r w:rsidRPr="000253B8">
        <w:rPr>
          <w:color w:val="auto"/>
        </w:rPr>
        <w:t xml:space="preserve">trzymania wezwania </w:t>
      </w:r>
      <w:r w:rsidR="004738C5">
        <w:rPr>
          <w:color w:val="auto"/>
        </w:rPr>
        <w:t>DWEFS</w:t>
      </w:r>
      <w:r w:rsidR="008C1195">
        <w:rPr>
          <w:color w:val="auto"/>
        </w:rPr>
        <w:t xml:space="preserve"> </w:t>
      </w:r>
      <w:r w:rsidRPr="000253B8">
        <w:rPr>
          <w:color w:val="auto"/>
        </w:rPr>
        <w:t>(art. 54 ust. 3 ustawy)</w:t>
      </w:r>
      <w:r w:rsidR="004B48D8">
        <w:rPr>
          <w:color w:val="auto"/>
        </w:rPr>
        <w:t>;</w:t>
      </w:r>
    </w:p>
    <w:p w:rsidR="004B48D8" w:rsidRPr="006122F2" w:rsidRDefault="001B02C7" w:rsidP="004B48D8">
      <w:pPr>
        <w:pStyle w:val="Default"/>
        <w:numPr>
          <w:ilvl w:val="0"/>
          <w:numId w:val="31"/>
        </w:numPr>
        <w:spacing w:after="27" w:line="276" w:lineRule="auto"/>
        <w:jc w:val="both"/>
        <w:rPr>
          <w:color w:val="auto"/>
        </w:rPr>
      </w:pPr>
      <w:r w:rsidRPr="001B02C7">
        <w:rPr>
          <w:color w:val="auto"/>
        </w:rPr>
        <w:t>w przypadku gdy wyczerpana zosta</w:t>
      </w:r>
      <w:r w:rsidR="008F1501">
        <w:rPr>
          <w:color w:val="auto"/>
        </w:rPr>
        <w:t>ła</w:t>
      </w:r>
      <w:r w:rsidRPr="001B02C7">
        <w:rPr>
          <w:color w:val="auto"/>
        </w:rPr>
        <w:t xml:space="preserve"> kwota przeznaczona na dofinansowanie projektów w ramach </w:t>
      </w:r>
      <w:r w:rsidR="000B1FA1">
        <w:rPr>
          <w:color w:val="auto"/>
        </w:rPr>
        <w:t>D</w:t>
      </w:r>
      <w:r w:rsidRPr="001B02C7">
        <w:rPr>
          <w:color w:val="auto"/>
        </w:rPr>
        <w:t xml:space="preserve">ziałania. </w:t>
      </w:r>
    </w:p>
    <w:p w:rsidR="002B66E9" w:rsidRDefault="00AF6068">
      <w:pPr>
        <w:pStyle w:val="Default"/>
        <w:numPr>
          <w:ilvl w:val="0"/>
          <w:numId w:val="30"/>
        </w:numPr>
        <w:spacing w:after="6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 xml:space="preserve">O </w:t>
      </w:r>
      <w:r w:rsidR="001D283E" w:rsidRPr="000253B8">
        <w:rPr>
          <w:color w:val="auto"/>
        </w:rPr>
        <w:t>pozostawieniu pr</w:t>
      </w:r>
      <w:r w:rsidR="007B5B38" w:rsidRPr="000253B8">
        <w:rPr>
          <w:color w:val="auto"/>
        </w:rPr>
        <w:t>otestu bez rozpatrzenia, IZ RPO</w:t>
      </w:r>
      <w:r w:rsidR="001D283E" w:rsidRPr="000253B8">
        <w:rPr>
          <w:color w:val="auto"/>
        </w:rPr>
        <w:t>W</w:t>
      </w:r>
      <w:r w:rsidR="007B5B38" w:rsidRPr="000253B8">
        <w:rPr>
          <w:color w:val="auto"/>
        </w:rPr>
        <w:t>Ś</w:t>
      </w:r>
      <w:r w:rsidR="001D283E" w:rsidRPr="000253B8">
        <w:rPr>
          <w:color w:val="auto"/>
        </w:rPr>
        <w:t xml:space="preserve"> informuje </w:t>
      </w:r>
      <w:r w:rsidR="00941C24">
        <w:rPr>
          <w:color w:val="auto"/>
        </w:rPr>
        <w:t>W</w:t>
      </w:r>
      <w:r w:rsidR="001D283E" w:rsidRPr="000253B8">
        <w:rPr>
          <w:color w:val="auto"/>
        </w:rPr>
        <w:t xml:space="preserve">nioskodawcę </w:t>
      </w:r>
      <w:r w:rsidR="00DB04CD">
        <w:rPr>
          <w:color w:val="auto"/>
        </w:rPr>
        <w:br/>
      </w:r>
      <w:r w:rsidR="001D283E" w:rsidRPr="000253B8">
        <w:rPr>
          <w:color w:val="auto"/>
        </w:rPr>
        <w:t xml:space="preserve">w terminie nie dłuższym niż 30 dni od dnia, w którym otrzymała protest, wraz z podaniem uzasadnienia. </w:t>
      </w:r>
    </w:p>
    <w:p w:rsidR="001D283E" w:rsidRPr="000253B8" w:rsidRDefault="001D283E" w:rsidP="000253B8">
      <w:pPr>
        <w:pStyle w:val="Default"/>
        <w:numPr>
          <w:ilvl w:val="0"/>
          <w:numId w:val="30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Na pozostawienie protestu bez rozpatrzenia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przysługuje możliwość wniesienia skargi do wojewódzkiego sądu administracyjnego zgodnie z § 12. </w:t>
      </w:r>
    </w:p>
    <w:p w:rsidR="001D283E" w:rsidRDefault="001D283E" w:rsidP="000253B8">
      <w:pPr>
        <w:pStyle w:val="Default"/>
        <w:numPr>
          <w:ilvl w:val="0"/>
          <w:numId w:val="30"/>
        </w:numPr>
        <w:spacing w:line="276" w:lineRule="auto"/>
        <w:jc w:val="both"/>
        <w:rPr>
          <w:color w:val="auto"/>
        </w:rPr>
      </w:pPr>
      <w:r w:rsidRPr="00B15954">
        <w:rPr>
          <w:color w:val="auto"/>
        </w:rPr>
        <w:lastRenderedPageBreak/>
        <w:t xml:space="preserve">Zastosowanie się </w:t>
      </w:r>
      <w:r w:rsidR="00941C24">
        <w:rPr>
          <w:color w:val="auto"/>
        </w:rPr>
        <w:t>W</w:t>
      </w:r>
      <w:r w:rsidRPr="00B15954">
        <w:rPr>
          <w:color w:val="auto"/>
        </w:rPr>
        <w:t xml:space="preserve">nioskodawcy do błędnego pouczenia, otrzymanego w toku oceny projektu lub niepodjęcie odpowiednich czynności w związku z brakiem pouczenia, nie może działać na szkodę </w:t>
      </w:r>
      <w:r w:rsidR="00941C24">
        <w:rPr>
          <w:color w:val="auto"/>
        </w:rPr>
        <w:t>W</w:t>
      </w:r>
      <w:r w:rsidRPr="00B15954">
        <w:rPr>
          <w:color w:val="auto"/>
        </w:rPr>
        <w:t xml:space="preserve">nioskodawcy. </w:t>
      </w:r>
    </w:p>
    <w:p w:rsidR="00B15954" w:rsidRDefault="00B15954" w:rsidP="00B15954">
      <w:pPr>
        <w:pStyle w:val="Default"/>
        <w:spacing w:line="276" w:lineRule="auto"/>
        <w:ind w:left="360"/>
        <w:jc w:val="both"/>
        <w:rPr>
          <w:color w:val="auto"/>
        </w:rPr>
      </w:pPr>
    </w:p>
    <w:p w:rsidR="00B15954" w:rsidRPr="00B15954" w:rsidRDefault="00B15954" w:rsidP="00B15954">
      <w:pPr>
        <w:pStyle w:val="Default"/>
        <w:spacing w:line="276" w:lineRule="auto"/>
        <w:ind w:left="360"/>
        <w:jc w:val="both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§ 7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Rozpatrywanie protestu</w:t>
      </w:r>
    </w:p>
    <w:p w:rsidR="001D283E" w:rsidRPr="000253B8" w:rsidRDefault="001D283E" w:rsidP="000253B8">
      <w:pPr>
        <w:pStyle w:val="Default"/>
        <w:numPr>
          <w:ilvl w:val="0"/>
          <w:numId w:val="33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>Protest rozpatrywany jest w ciągu 30 dni od dnia wpływu protestu do</w:t>
      </w:r>
      <w:r w:rsidR="004738C5">
        <w:rPr>
          <w:color w:val="auto"/>
        </w:rPr>
        <w:t xml:space="preserve"> DWEFS</w:t>
      </w:r>
      <w:r w:rsidRPr="000253B8">
        <w:rPr>
          <w:color w:val="auto"/>
        </w:rPr>
        <w:t xml:space="preserve">. W uzasadnionych przypadkach, termin ten może zostać przedłużony, np. w przypadku konieczności skorzystania z pomocy ekspertów. W tej sytuacji, termin rozpatrzenia protestu nie może przekroczyć łącznie 60 dni od dnia jego otrzymania. O przedłużeniu terminu rozpatrywania protestu </w:t>
      </w:r>
      <w:r w:rsidR="004738C5">
        <w:rPr>
          <w:color w:val="auto"/>
        </w:rPr>
        <w:t xml:space="preserve">DWEFS </w:t>
      </w:r>
      <w:r w:rsidRPr="000253B8">
        <w:rPr>
          <w:color w:val="auto"/>
        </w:rPr>
        <w:t xml:space="preserve">informuje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nioskodawcę na piśmie wraz z wyznaczeniem nowego terminu na jego rozpatrzenie. </w:t>
      </w:r>
    </w:p>
    <w:p w:rsidR="001D283E" w:rsidRPr="000253B8" w:rsidRDefault="001D283E" w:rsidP="000253B8">
      <w:pPr>
        <w:pStyle w:val="Default"/>
        <w:numPr>
          <w:ilvl w:val="0"/>
          <w:numId w:val="33"/>
        </w:numPr>
        <w:spacing w:after="6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 xml:space="preserve">W trakcie rozpatrywania protestu </w:t>
      </w:r>
      <w:r w:rsidR="004738C5">
        <w:rPr>
          <w:color w:val="auto"/>
        </w:rPr>
        <w:t>DWEFS</w:t>
      </w:r>
      <w:r w:rsidR="00330F90">
        <w:rPr>
          <w:color w:val="auto"/>
        </w:rPr>
        <w:t xml:space="preserve"> </w:t>
      </w:r>
      <w:r w:rsidRPr="000253B8">
        <w:rPr>
          <w:color w:val="auto"/>
        </w:rPr>
        <w:t xml:space="preserve">zobowiązana jest do: </w:t>
      </w:r>
    </w:p>
    <w:p w:rsidR="001D283E" w:rsidRPr="000253B8" w:rsidRDefault="001D283E" w:rsidP="000253B8">
      <w:pPr>
        <w:pStyle w:val="Default"/>
        <w:numPr>
          <w:ilvl w:val="0"/>
          <w:numId w:val="34"/>
        </w:numPr>
        <w:spacing w:after="6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>zapoznania się z wynikami pierwotnej oceny projektu</w:t>
      </w:r>
      <w:r w:rsidR="00EE6B9D" w:rsidRPr="000253B8">
        <w:rPr>
          <w:color w:val="auto"/>
        </w:rPr>
        <w:t>;</w:t>
      </w:r>
      <w:r w:rsidRPr="000253B8">
        <w:rPr>
          <w:color w:val="auto"/>
        </w:rPr>
        <w:t xml:space="preserve"> </w:t>
      </w:r>
    </w:p>
    <w:p w:rsidR="001D283E" w:rsidRPr="000253B8" w:rsidRDefault="001D283E" w:rsidP="000253B8">
      <w:pPr>
        <w:pStyle w:val="Default"/>
        <w:numPr>
          <w:ilvl w:val="0"/>
          <w:numId w:val="34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zapoznania się z treścią protestu złożonego przez </w:t>
      </w:r>
      <w:r w:rsidR="00941C24">
        <w:rPr>
          <w:color w:val="auto"/>
        </w:rPr>
        <w:t>W</w:t>
      </w:r>
      <w:r w:rsidRPr="000253B8">
        <w:rPr>
          <w:color w:val="auto"/>
        </w:rPr>
        <w:t>nioskodawcę wraz z jego uzasadnieniem, a w szczególności do wnikliwego przeanalizowania zgłoszonych zarzutów</w:t>
      </w:r>
      <w:r w:rsidR="00EE6B9D" w:rsidRPr="000253B8">
        <w:rPr>
          <w:color w:val="auto"/>
        </w:rPr>
        <w:t>;</w:t>
      </w:r>
      <w:r w:rsidRPr="000253B8">
        <w:rPr>
          <w:color w:val="auto"/>
        </w:rPr>
        <w:t xml:space="preserve"> </w:t>
      </w:r>
    </w:p>
    <w:p w:rsidR="001D283E" w:rsidRPr="000253B8" w:rsidRDefault="001D283E" w:rsidP="000253B8">
      <w:pPr>
        <w:pStyle w:val="Default"/>
        <w:numPr>
          <w:ilvl w:val="0"/>
          <w:numId w:val="34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sprawdzenia zgodności złożonego wniosku o dofinansowanie projektu z tym kryterium lub kryteriami, które zostały wskazane w proteście. </w:t>
      </w:r>
    </w:p>
    <w:p w:rsidR="001D283E" w:rsidRPr="000253B8" w:rsidRDefault="001D283E" w:rsidP="000253B8">
      <w:pPr>
        <w:pStyle w:val="Default"/>
        <w:numPr>
          <w:ilvl w:val="0"/>
          <w:numId w:val="33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 xml:space="preserve">Na etapie wnoszenia/rozstrzygania protestu, Wnioskodawca nie może wnosić dodatkowych dokumentów, których nie dołączył w trakcie oceny projektu, a które mogłyby rzutować na jej wynik. </w:t>
      </w:r>
    </w:p>
    <w:p w:rsidR="001D283E" w:rsidRPr="000253B8" w:rsidRDefault="004738C5" w:rsidP="000253B8">
      <w:pPr>
        <w:pStyle w:val="Default"/>
        <w:numPr>
          <w:ilvl w:val="0"/>
          <w:numId w:val="33"/>
        </w:numPr>
        <w:spacing w:after="60" w:line="276" w:lineRule="auto"/>
        <w:ind w:left="357" w:hanging="357"/>
        <w:jc w:val="both"/>
        <w:rPr>
          <w:color w:val="auto"/>
        </w:rPr>
      </w:pPr>
      <w:r>
        <w:rPr>
          <w:color w:val="auto"/>
        </w:rPr>
        <w:t xml:space="preserve">DWEFS </w:t>
      </w:r>
      <w:r w:rsidR="001D283E" w:rsidRPr="000253B8">
        <w:rPr>
          <w:color w:val="auto"/>
        </w:rPr>
        <w:t xml:space="preserve">może protest: </w:t>
      </w:r>
    </w:p>
    <w:p w:rsidR="001D283E" w:rsidRPr="000253B8" w:rsidRDefault="001D283E" w:rsidP="000253B8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253B8">
        <w:rPr>
          <w:color w:val="auto"/>
        </w:rPr>
        <w:t xml:space="preserve">uwzględnić </w:t>
      </w:r>
      <w:r w:rsidR="002A63E1">
        <w:rPr>
          <w:color w:val="auto"/>
        </w:rPr>
        <w:t xml:space="preserve"> </w:t>
      </w:r>
      <w:r w:rsidRPr="000253B8">
        <w:rPr>
          <w:color w:val="auto"/>
        </w:rPr>
        <w:t xml:space="preserve">– w przypadku, gdy na podstawie zebranych informacji i dokumentacji uzna za zasadne żądanie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</w:t>
      </w:r>
      <w:r w:rsidR="00380020">
        <w:rPr>
          <w:color w:val="auto"/>
        </w:rPr>
        <w:t xml:space="preserve">skierować projekt </w:t>
      </w:r>
      <w:r w:rsidRPr="000253B8">
        <w:rPr>
          <w:color w:val="auto"/>
        </w:rPr>
        <w:t xml:space="preserve">do </w:t>
      </w:r>
      <w:r w:rsidR="00380020">
        <w:rPr>
          <w:color w:val="auto"/>
        </w:rPr>
        <w:t xml:space="preserve">właściwego </w:t>
      </w:r>
      <w:r w:rsidRPr="000253B8">
        <w:rPr>
          <w:color w:val="auto"/>
        </w:rPr>
        <w:t xml:space="preserve">etapu </w:t>
      </w:r>
      <w:r w:rsidR="00380020">
        <w:rPr>
          <w:color w:val="auto"/>
        </w:rPr>
        <w:t xml:space="preserve">oceny </w:t>
      </w:r>
    </w:p>
    <w:p w:rsidR="001D283E" w:rsidRPr="000253B8" w:rsidRDefault="001D283E" w:rsidP="000253B8">
      <w:pPr>
        <w:pStyle w:val="Default"/>
        <w:numPr>
          <w:ilvl w:val="0"/>
          <w:numId w:val="35"/>
        </w:numPr>
        <w:spacing w:after="28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nie uwzględnić – </w:t>
      </w:r>
    </w:p>
    <w:p w:rsidR="001D283E" w:rsidRPr="000253B8" w:rsidRDefault="001D283E" w:rsidP="000253B8">
      <w:pPr>
        <w:pStyle w:val="Default"/>
        <w:numPr>
          <w:ilvl w:val="0"/>
          <w:numId w:val="35"/>
        </w:numPr>
        <w:spacing w:after="6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>pozostawić bez rozpatrzenia – zgodnie z § 6</w:t>
      </w:r>
      <w:r w:rsidR="00AF6068" w:rsidRPr="000253B8">
        <w:rPr>
          <w:color w:val="auto"/>
        </w:rPr>
        <w:t>.</w:t>
      </w:r>
      <w:r w:rsidRPr="000253B8">
        <w:rPr>
          <w:color w:val="auto"/>
        </w:rPr>
        <w:t xml:space="preserve"> </w:t>
      </w:r>
    </w:p>
    <w:p w:rsidR="001D283E" w:rsidRPr="000253B8" w:rsidRDefault="001D283E" w:rsidP="000253B8">
      <w:pPr>
        <w:pStyle w:val="Default"/>
        <w:numPr>
          <w:ilvl w:val="0"/>
          <w:numId w:val="33"/>
        </w:numPr>
        <w:spacing w:after="60" w:line="276" w:lineRule="auto"/>
        <w:jc w:val="both"/>
        <w:rPr>
          <w:color w:val="auto"/>
        </w:rPr>
      </w:pPr>
      <w:r w:rsidRPr="000253B8">
        <w:rPr>
          <w:color w:val="auto"/>
        </w:rPr>
        <w:t>Nie uwzględniając protestu IZ RPOW</w:t>
      </w:r>
      <w:r w:rsidR="00C70FDF" w:rsidRPr="000253B8">
        <w:rPr>
          <w:color w:val="auto"/>
        </w:rPr>
        <w:t>Ś</w:t>
      </w:r>
      <w:r w:rsidRPr="000253B8">
        <w:rPr>
          <w:color w:val="auto"/>
        </w:rPr>
        <w:t xml:space="preserve"> przekazuje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informację </w:t>
      </w:r>
      <w:r w:rsidR="000253B8">
        <w:rPr>
          <w:color w:val="auto"/>
        </w:rPr>
        <w:br/>
      </w:r>
      <w:r w:rsidRPr="000253B8">
        <w:rPr>
          <w:color w:val="auto"/>
        </w:rPr>
        <w:t xml:space="preserve">o negatywnym wyniku rozpatrzenia protestu wraz z pouczeniem o możliwości wniesienia skargi do wojewódzkiego sądu administracyjnego zgodnie z § 12. </w:t>
      </w:r>
    </w:p>
    <w:p w:rsidR="001D283E" w:rsidRPr="000253B8" w:rsidRDefault="001D283E" w:rsidP="000253B8">
      <w:pPr>
        <w:pStyle w:val="Default"/>
        <w:numPr>
          <w:ilvl w:val="0"/>
          <w:numId w:val="33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 xml:space="preserve">W sytuacji, gdy zarzuty w proteście dotyczą błędów rachunkowych w sumowaniu lub wyliczeniu średniej arytmetycznej punktów przyznanych wnioskowi w ramach oceny merytorycznej i projekt może zostać skorygowany przez sekretarza Komisji Oceny Projektów, protest zostaje rozpatrzony pozytywnie, jednak nie podlega ponownej ocenie </w:t>
      </w:r>
      <w:r w:rsidR="000253B8">
        <w:rPr>
          <w:color w:val="auto"/>
        </w:rPr>
        <w:br/>
      </w:r>
      <w:r w:rsidRPr="000253B8">
        <w:rPr>
          <w:color w:val="auto"/>
        </w:rPr>
        <w:t xml:space="preserve">a jedynie zostaje skierowany na posiedzenie Komisji Oceny Projektów celem dokonania korekty. </w:t>
      </w:r>
    </w:p>
    <w:p w:rsidR="001D283E" w:rsidRDefault="001D283E" w:rsidP="000253B8">
      <w:pPr>
        <w:pStyle w:val="Default"/>
        <w:numPr>
          <w:ilvl w:val="0"/>
          <w:numId w:val="33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 xml:space="preserve">Wyniki ponownie przeprowadzonej oceny wniosku w zakresie złożonego protestu są wiążące. Oznacza to, iż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nie przysługuje ponowne złożenie protestu w tym zakresie. Wnioskodawcy przysługuje jednak złożenie skargi do wojewódzkiego sądu administracyjnego zgodnie z § 12. </w:t>
      </w:r>
    </w:p>
    <w:p w:rsidR="00B15954" w:rsidRPr="000253B8" w:rsidRDefault="00B15954" w:rsidP="00B15954">
      <w:pPr>
        <w:pStyle w:val="Default"/>
        <w:spacing w:after="60" w:line="276" w:lineRule="auto"/>
        <w:ind w:left="357"/>
        <w:jc w:val="both"/>
        <w:rPr>
          <w:color w:val="auto"/>
        </w:rPr>
      </w:pPr>
    </w:p>
    <w:p w:rsidR="00492D31" w:rsidRPr="000253B8" w:rsidRDefault="00492D31" w:rsidP="000253B8">
      <w:pPr>
        <w:pStyle w:val="Default"/>
        <w:spacing w:after="60" w:line="276" w:lineRule="auto"/>
        <w:ind w:left="357"/>
        <w:jc w:val="both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lastRenderedPageBreak/>
        <w:t>§ 8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 xml:space="preserve">Sposób zawiadomienia </w:t>
      </w:r>
      <w:r w:rsidR="00941C24">
        <w:rPr>
          <w:b/>
          <w:bCs/>
          <w:color w:val="auto"/>
        </w:rPr>
        <w:t>W</w:t>
      </w:r>
      <w:r w:rsidRPr="000253B8">
        <w:rPr>
          <w:b/>
          <w:bCs/>
          <w:color w:val="auto"/>
        </w:rPr>
        <w:t>nioskodawcy o wyniku rozpatrzenia</w:t>
      </w:r>
    </w:p>
    <w:p w:rsidR="001D283E" w:rsidRPr="000253B8" w:rsidRDefault="001D283E" w:rsidP="000253B8">
      <w:pPr>
        <w:pStyle w:val="Default"/>
        <w:spacing w:after="60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Przekazana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pisemna informacja o rozpatrzeniu protestu zawiera: </w:t>
      </w:r>
    </w:p>
    <w:p w:rsidR="001D283E" w:rsidRPr="000253B8" w:rsidRDefault="001D283E" w:rsidP="000253B8">
      <w:pPr>
        <w:pStyle w:val="Default"/>
        <w:numPr>
          <w:ilvl w:val="0"/>
          <w:numId w:val="36"/>
        </w:numPr>
        <w:spacing w:after="60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treść rozstrzygnięcia w przedmiocie protestu; </w:t>
      </w:r>
    </w:p>
    <w:p w:rsidR="001D283E" w:rsidRPr="000253B8" w:rsidRDefault="001D283E" w:rsidP="000253B8">
      <w:pPr>
        <w:pStyle w:val="Default"/>
        <w:numPr>
          <w:ilvl w:val="0"/>
          <w:numId w:val="36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szczegółowe uzasadnienie podjętego rozstrzygnięcia; uzasadnienie zawiera odniesienie do każdego z zarzutów podnoszonych w obrębie poszczególnych kryteriów a także zarzutów o charakterze proceduralnym; </w:t>
      </w:r>
    </w:p>
    <w:p w:rsidR="001D283E" w:rsidRPr="000253B8" w:rsidRDefault="001D283E" w:rsidP="000253B8">
      <w:pPr>
        <w:pStyle w:val="Default"/>
        <w:numPr>
          <w:ilvl w:val="0"/>
          <w:numId w:val="36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w przypadku rozstrzygnięcia uwzględniającego protest, informację o ostateczności podjętego rozstrzygnięcia i o dalszym sposobie postępowania wynikającym z treści podjętego rozstrzygnięcia; </w:t>
      </w:r>
    </w:p>
    <w:p w:rsidR="001D283E" w:rsidRDefault="001D283E" w:rsidP="000253B8">
      <w:pPr>
        <w:pStyle w:val="Default"/>
        <w:numPr>
          <w:ilvl w:val="0"/>
          <w:numId w:val="36"/>
        </w:numPr>
        <w:spacing w:line="276" w:lineRule="auto"/>
        <w:jc w:val="both"/>
        <w:rPr>
          <w:color w:val="auto"/>
        </w:rPr>
      </w:pPr>
      <w:r w:rsidRPr="000253B8">
        <w:rPr>
          <w:color w:val="auto"/>
        </w:rPr>
        <w:t>w przypadku rozstrzygnięcia nieuwzględniającego protestu, pouczenie o możliwości wniesienia skargi do wojewódzkiego sądu administracyjnego n</w:t>
      </w:r>
      <w:r w:rsidR="00BF3831" w:rsidRPr="000253B8">
        <w:rPr>
          <w:color w:val="auto"/>
        </w:rPr>
        <w:t xml:space="preserve">a zasadach określonych </w:t>
      </w:r>
      <w:r w:rsidR="00ED3D08" w:rsidRPr="000253B8">
        <w:rPr>
          <w:color w:val="auto"/>
        </w:rPr>
        <w:br/>
      </w:r>
      <w:r w:rsidR="00BF3831" w:rsidRPr="000253B8">
        <w:rPr>
          <w:color w:val="auto"/>
        </w:rPr>
        <w:t xml:space="preserve">w § 12. </w:t>
      </w:r>
    </w:p>
    <w:p w:rsidR="00B15954" w:rsidRPr="000253B8" w:rsidRDefault="00B15954" w:rsidP="00B15954">
      <w:pPr>
        <w:pStyle w:val="Default"/>
        <w:spacing w:line="276" w:lineRule="auto"/>
        <w:ind w:left="720"/>
        <w:jc w:val="both"/>
        <w:rPr>
          <w:color w:val="auto"/>
        </w:rPr>
      </w:pPr>
    </w:p>
    <w:p w:rsidR="00D15DD7" w:rsidRPr="000253B8" w:rsidRDefault="00D15DD7" w:rsidP="000253B8">
      <w:pPr>
        <w:pStyle w:val="Default"/>
        <w:spacing w:line="276" w:lineRule="auto"/>
        <w:ind w:left="720"/>
        <w:jc w:val="both"/>
        <w:rPr>
          <w:color w:val="auto"/>
        </w:rPr>
      </w:pPr>
    </w:p>
    <w:p w:rsidR="00BF3831" w:rsidRPr="000253B8" w:rsidRDefault="00415075" w:rsidP="000253B8">
      <w:pPr>
        <w:pStyle w:val="Default"/>
        <w:spacing w:line="276" w:lineRule="auto"/>
        <w:jc w:val="center"/>
        <w:rPr>
          <w:b/>
          <w:color w:val="auto"/>
        </w:rPr>
      </w:pPr>
      <w:r w:rsidRPr="000253B8">
        <w:rPr>
          <w:b/>
          <w:color w:val="auto"/>
        </w:rPr>
        <w:t>§ 9</w:t>
      </w:r>
    </w:p>
    <w:p w:rsidR="00BF3831" w:rsidRPr="000253B8" w:rsidRDefault="00BF3831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Wycofanie protestu</w:t>
      </w:r>
    </w:p>
    <w:p w:rsidR="00BF3831" w:rsidRPr="000253B8" w:rsidRDefault="00BF3831" w:rsidP="000253B8">
      <w:pPr>
        <w:pStyle w:val="Default"/>
        <w:numPr>
          <w:ilvl w:val="0"/>
          <w:numId w:val="37"/>
        </w:numPr>
        <w:spacing w:after="60" w:line="276" w:lineRule="auto"/>
        <w:ind w:left="357" w:hanging="357"/>
        <w:rPr>
          <w:color w:val="auto"/>
        </w:rPr>
      </w:pPr>
      <w:r w:rsidRPr="000253B8">
        <w:rPr>
          <w:color w:val="auto"/>
        </w:rPr>
        <w:t xml:space="preserve">Wycofanie protestu należy złożyć do </w:t>
      </w:r>
      <w:r w:rsidR="00330F90">
        <w:rPr>
          <w:color w:val="auto"/>
        </w:rPr>
        <w:t>DWEFS</w:t>
      </w:r>
      <w:r w:rsidR="008C1195">
        <w:rPr>
          <w:color w:val="auto"/>
        </w:rPr>
        <w:t xml:space="preserve"> </w:t>
      </w:r>
      <w:r w:rsidRPr="000253B8">
        <w:rPr>
          <w:color w:val="auto"/>
        </w:rPr>
        <w:t>(§</w:t>
      </w:r>
      <w:r w:rsidR="00AC4A53" w:rsidRPr="000253B8">
        <w:rPr>
          <w:color w:val="auto"/>
        </w:rPr>
        <w:t xml:space="preserve"> </w:t>
      </w:r>
      <w:r w:rsidRPr="000253B8">
        <w:rPr>
          <w:color w:val="auto"/>
        </w:rPr>
        <w:t xml:space="preserve">4 ust. 5). </w:t>
      </w:r>
    </w:p>
    <w:p w:rsidR="003C5A7B" w:rsidRPr="000253B8" w:rsidRDefault="003C5A7B" w:rsidP="000253B8">
      <w:pPr>
        <w:pStyle w:val="Akapitzlist"/>
        <w:numPr>
          <w:ilvl w:val="0"/>
          <w:numId w:val="37"/>
        </w:numPr>
        <w:spacing w:after="60" w:line="276" w:lineRule="auto"/>
        <w:ind w:left="357" w:hanging="357"/>
        <w:jc w:val="both"/>
      </w:pPr>
      <w:r w:rsidRPr="000253B8">
        <w:t xml:space="preserve">Dopuszczalne jest wycofanie protestu przez podmiot, który go złożył. Wycofanie protestu następuje na piśmie do czasu upływu terminu na jego rozpatrzenie lub do czasu wydania rozstrzygnięcia w sprawie. </w:t>
      </w:r>
      <w:r w:rsidR="00330F90">
        <w:t>DWEFS</w:t>
      </w:r>
      <w:r w:rsidR="008C1195">
        <w:t xml:space="preserve"> </w:t>
      </w:r>
      <w:r w:rsidRPr="000253B8">
        <w:t xml:space="preserve">nie zwraca protestu </w:t>
      </w:r>
      <w:r w:rsidR="00941C24">
        <w:t>W</w:t>
      </w:r>
      <w:r w:rsidRPr="000253B8">
        <w:t>nioskodawcy. Wycofanie protestu kończy procedurę odwoławczą w odniesieniu do danego projektu. Wycofany protest nie może zostać ponownie złożony.</w:t>
      </w:r>
    </w:p>
    <w:p w:rsidR="00BF3831" w:rsidRPr="000253B8" w:rsidRDefault="00BF3831" w:rsidP="000253B8">
      <w:pPr>
        <w:pStyle w:val="Default"/>
        <w:spacing w:line="276" w:lineRule="auto"/>
        <w:rPr>
          <w:color w:val="auto"/>
        </w:rPr>
      </w:pPr>
    </w:p>
    <w:p w:rsidR="00ED3D08" w:rsidRPr="000253B8" w:rsidRDefault="00ED3D08" w:rsidP="000253B8">
      <w:pPr>
        <w:pStyle w:val="Default"/>
        <w:spacing w:line="276" w:lineRule="auto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§ 10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Wyłączenia</w:t>
      </w:r>
    </w:p>
    <w:p w:rsidR="001D283E" w:rsidRPr="000253B8" w:rsidRDefault="001D283E" w:rsidP="000253B8">
      <w:pPr>
        <w:pStyle w:val="Default"/>
        <w:numPr>
          <w:ilvl w:val="0"/>
          <w:numId w:val="38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W celu zachowania obiektywizmu, z rozpatrywania protestu wyłączona jest osoba </w:t>
      </w:r>
      <w:r w:rsidR="00962D9B">
        <w:rPr>
          <w:color w:val="auto"/>
        </w:rPr>
        <w:br/>
      </w:r>
      <w:r w:rsidRPr="000253B8">
        <w:rPr>
          <w:color w:val="auto"/>
        </w:rPr>
        <w:t xml:space="preserve">w sprawie, która (art. 60 i 67 ustawy): </w:t>
      </w:r>
    </w:p>
    <w:p w:rsidR="001D283E" w:rsidRPr="000253B8" w:rsidRDefault="001D283E" w:rsidP="000253B8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>była zaangażowane w przygotowanie projektu lub jego ocenę</w:t>
      </w:r>
      <w:r w:rsidR="00AC4A53" w:rsidRPr="000253B8">
        <w:rPr>
          <w:color w:val="auto"/>
        </w:rPr>
        <w:t>;</w:t>
      </w:r>
      <w:r w:rsidRPr="000253B8">
        <w:rPr>
          <w:color w:val="auto"/>
        </w:rPr>
        <w:t xml:space="preserve"> </w:t>
      </w:r>
    </w:p>
    <w:p w:rsidR="001D283E" w:rsidRPr="000253B8" w:rsidRDefault="001D283E" w:rsidP="000253B8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jest stroną albo pozostaje z jedną ze stron w takim stosunku prawnym, że wynik sprawy może mieć wpływ na jej prawa lub obowiązki; </w:t>
      </w:r>
    </w:p>
    <w:p w:rsidR="001D283E" w:rsidRPr="000253B8" w:rsidRDefault="001D283E" w:rsidP="000253B8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bierze udział w sprawie dotyczącej swego małżonka oraz krewnych i powinowatych do drugiego stopnia; </w:t>
      </w:r>
    </w:p>
    <w:p w:rsidR="001D283E" w:rsidRPr="000253B8" w:rsidRDefault="001D283E" w:rsidP="000253B8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bierze udział w sprawie dotyczącej osoby związanej z nią z tytułu przysposobienia, opieki lub kurateli; </w:t>
      </w:r>
    </w:p>
    <w:p w:rsidR="001D283E" w:rsidRPr="000253B8" w:rsidRDefault="001D283E" w:rsidP="000253B8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>brała udział w sprawie, w której była świadkiem lub biegłym albo była lub jest przedstawicielem jednej ze stron, albo w której przedstawicie</w:t>
      </w:r>
      <w:r w:rsidR="00962D9B">
        <w:rPr>
          <w:color w:val="auto"/>
        </w:rPr>
        <w:t xml:space="preserve">lem strony jest jedna </w:t>
      </w:r>
      <w:r w:rsidR="00962D9B">
        <w:rPr>
          <w:color w:val="auto"/>
        </w:rPr>
        <w:br/>
        <w:t>z osób wy</w:t>
      </w:r>
      <w:r w:rsidRPr="000253B8">
        <w:rPr>
          <w:color w:val="auto"/>
        </w:rPr>
        <w:t xml:space="preserve">mienionych w pkt 2 i 3; </w:t>
      </w:r>
    </w:p>
    <w:p w:rsidR="001D283E" w:rsidRPr="000253B8" w:rsidRDefault="001D283E" w:rsidP="000253B8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brała udział w wydaniu zaskarżonej oceny; </w:t>
      </w:r>
    </w:p>
    <w:p w:rsidR="00D15DD7" w:rsidRPr="000253B8" w:rsidRDefault="001D283E" w:rsidP="000253B8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z powodu której wszczęto przeciw niej dochodzenie służbowe, postępowanie dyscyplinarne lub karne; </w:t>
      </w:r>
    </w:p>
    <w:p w:rsidR="001D283E" w:rsidRPr="000253B8" w:rsidRDefault="001D283E" w:rsidP="000253B8">
      <w:pPr>
        <w:pStyle w:val="Default"/>
        <w:numPr>
          <w:ilvl w:val="0"/>
          <w:numId w:val="39"/>
        </w:numPr>
        <w:spacing w:after="120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w której jedną ze stron jest osoba pozostająca wobec niej w stosunku nadrzędności służbowej. </w:t>
      </w:r>
    </w:p>
    <w:p w:rsidR="001D283E" w:rsidRPr="000253B8" w:rsidRDefault="001D283E" w:rsidP="000253B8">
      <w:pPr>
        <w:pStyle w:val="Default"/>
        <w:numPr>
          <w:ilvl w:val="0"/>
          <w:numId w:val="38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lastRenderedPageBreak/>
        <w:t xml:space="preserve">Powody wyłączenia pracownika od udziału w postępowaniu trwają także po ustaniu małżeństwa (pkt b), przysposobienia, opieki lub kurateli (pkt c). </w:t>
      </w:r>
    </w:p>
    <w:p w:rsidR="001D283E" w:rsidRPr="000253B8" w:rsidRDefault="001D283E" w:rsidP="000253B8">
      <w:pPr>
        <w:pStyle w:val="Default"/>
        <w:numPr>
          <w:ilvl w:val="0"/>
          <w:numId w:val="38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 xml:space="preserve">Bezpośredni przełożony pracownika jest obowiązany na jego żądanie lub na żądanie strony albo z urzędu wyłączyć go od udziału w postępowaniu, jeżeli zostanie uprawdopodobnione istnienie okoliczności niewymienionych w ust. 1, które mogą wywołać wątpliwość co do bezstronności pracownika. </w:t>
      </w:r>
    </w:p>
    <w:p w:rsidR="001D283E" w:rsidRPr="000253B8" w:rsidRDefault="001D283E" w:rsidP="000253B8">
      <w:pPr>
        <w:pStyle w:val="Default"/>
        <w:numPr>
          <w:ilvl w:val="0"/>
          <w:numId w:val="38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Czynności o charakterze technicznym, niezwiązanym z oceną projektu, które nie miały wpływu na wydanie określonego rozstrzygnięcia w odniesieniu do projektu, wykonywane przez osobę określoną w ust. 1, nie są podstawą do jej wyłączenia. </w:t>
      </w:r>
    </w:p>
    <w:p w:rsidR="001D283E" w:rsidRPr="000253B8" w:rsidRDefault="001D283E" w:rsidP="000253B8">
      <w:pPr>
        <w:pStyle w:val="Default"/>
        <w:numPr>
          <w:ilvl w:val="0"/>
          <w:numId w:val="38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W przypadku wyłączenia osoby z rozpatrywania protestu jej bezpośredni przełożony wyznacza na jej miejsce inną osobę. </w:t>
      </w:r>
    </w:p>
    <w:p w:rsidR="003C5A7B" w:rsidRPr="000253B8" w:rsidRDefault="001D283E" w:rsidP="000253B8">
      <w:pPr>
        <w:pStyle w:val="Default"/>
        <w:numPr>
          <w:ilvl w:val="0"/>
          <w:numId w:val="38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Osoba rozpatrująca protest, przed przystąpieniem do czynności związanych z jego rozpatrzeniem, potwierdza niewystępowanie okoliczności mogących budzić wątpliwość, co do bezstronnej oceny protestu, wypełniając deklarację o poufności i bezstronności. </w:t>
      </w:r>
    </w:p>
    <w:p w:rsidR="003C5A7B" w:rsidRDefault="003C5A7B" w:rsidP="000253B8">
      <w:pPr>
        <w:pStyle w:val="Default"/>
        <w:spacing w:line="276" w:lineRule="auto"/>
        <w:jc w:val="both"/>
        <w:rPr>
          <w:color w:val="auto"/>
        </w:rPr>
      </w:pPr>
    </w:p>
    <w:p w:rsidR="00B15954" w:rsidRPr="000253B8" w:rsidRDefault="00B15954" w:rsidP="000253B8">
      <w:pPr>
        <w:pStyle w:val="Default"/>
        <w:spacing w:line="276" w:lineRule="auto"/>
        <w:jc w:val="both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§ 11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Korzystanie z opinii ekspertów oraz zespołów doradczych</w:t>
      </w:r>
    </w:p>
    <w:p w:rsidR="001D283E" w:rsidRPr="000253B8" w:rsidRDefault="001D283E" w:rsidP="000253B8">
      <w:pPr>
        <w:pStyle w:val="Default"/>
        <w:numPr>
          <w:ilvl w:val="0"/>
          <w:numId w:val="41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Możliwe jest korzystanie przez </w:t>
      </w:r>
      <w:r w:rsidR="00330F90">
        <w:rPr>
          <w:color w:val="auto"/>
        </w:rPr>
        <w:t xml:space="preserve">DWEFS </w:t>
      </w:r>
      <w:r w:rsidRPr="000253B8">
        <w:rPr>
          <w:color w:val="auto"/>
        </w:rPr>
        <w:t xml:space="preserve">z opinii ekspertów bądź zespołów doradczych, w szczególności w przypadku, gdy protest dotyczy etapu oceny merytorycznej projektu, </w:t>
      </w:r>
      <w:r w:rsidR="007467BB">
        <w:rPr>
          <w:color w:val="auto"/>
        </w:rPr>
        <w:br/>
      </w:r>
      <w:r w:rsidRPr="000253B8">
        <w:rPr>
          <w:color w:val="auto"/>
        </w:rPr>
        <w:t xml:space="preserve">a do stwierdzenia jakości i rzetelności przeprowadzonej oceny niezbędna jest fachowa specjalistyczna wiedza merytoryczna. </w:t>
      </w:r>
    </w:p>
    <w:p w:rsidR="001D283E" w:rsidRPr="000253B8" w:rsidRDefault="001D283E" w:rsidP="000253B8">
      <w:pPr>
        <w:pStyle w:val="Default"/>
        <w:numPr>
          <w:ilvl w:val="0"/>
          <w:numId w:val="41"/>
        </w:numPr>
        <w:spacing w:line="276" w:lineRule="auto"/>
        <w:jc w:val="both"/>
        <w:rPr>
          <w:color w:val="auto"/>
        </w:rPr>
      </w:pPr>
      <w:r w:rsidRPr="000253B8">
        <w:rPr>
          <w:color w:val="auto"/>
        </w:rPr>
        <w:t>Eksperci oraz członkowie zespołów doradczych podlegają wyłączeniu z rozpatrywania protestu na zasadach określonych w § 10 ust</w:t>
      </w:r>
      <w:r w:rsidR="00EE6B9D" w:rsidRPr="000253B8">
        <w:rPr>
          <w:color w:val="auto"/>
        </w:rPr>
        <w:t>.</w:t>
      </w:r>
      <w:r w:rsidRPr="000253B8">
        <w:rPr>
          <w:color w:val="auto"/>
        </w:rPr>
        <w:t xml:space="preserve"> 6 stosuje się odpowiednio. </w:t>
      </w:r>
    </w:p>
    <w:p w:rsidR="001D283E" w:rsidRPr="000253B8" w:rsidRDefault="001D283E" w:rsidP="000253B8">
      <w:pPr>
        <w:pStyle w:val="Default"/>
        <w:spacing w:line="276" w:lineRule="auto"/>
        <w:jc w:val="both"/>
        <w:rPr>
          <w:color w:val="auto"/>
        </w:rPr>
      </w:pPr>
    </w:p>
    <w:p w:rsidR="00B15954" w:rsidRDefault="00B15954" w:rsidP="000253B8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§ 12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Skarga do wojewódzkiego sądu administracyjnego</w:t>
      </w:r>
    </w:p>
    <w:p w:rsidR="001D283E" w:rsidRPr="000253B8" w:rsidRDefault="001D283E" w:rsidP="000253B8">
      <w:pPr>
        <w:pStyle w:val="Default"/>
        <w:numPr>
          <w:ilvl w:val="0"/>
          <w:numId w:val="42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 xml:space="preserve">W przypadku nieuwzględnienia protestu, negatywnej ponownej oceny projektu lub pozostawienia protestu bez rozpatrzenia, w tym w przypadku, o którym mowa w art. 59 ust. 1 lub art. 66 ust. 2 pkt 1 ustawy,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nioskodawca może w tym zakresie wnieść skargę do Wojewódzkiego Sądu Administracyjnego w </w:t>
      </w:r>
      <w:r w:rsidR="00117F00" w:rsidRPr="000253B8">
        <w:rPr>
          <w:color w:val="auto"/>
        </w:rPr>
        <w:t>Kielcach</w:t>
      </w:r>
      <w:r w:rsidRPr="000253B8">
        <w:rPr>
          <w:color w:val="auto"/>
        </w:rPr>
        <w:t xml:space="preserve">, zgodnie z art. 3 § 3 ustawy </w:t>
      </w:r>
      <w:r w:rsidR="00962D9B">
        <w:rPr>
          <w:color w:val="auto"/>
        </w:rPr>
        <w:br/>
      </w:r>
      <w:r w:rsidRPr="000253B8">
        <w:rPr>
          <w:color w:val="auto"/>
        </w:rPr>
        <w:t xml:space="preserve">z dnia 30 sierpnia 2002 r. </w:t>
      </w:r>
      <w:r w:rsidR="00962D9B">
        <w:rPr>
          <w:color w:val="auto"/>
        </w:rPr>
        <w:t xml:space="preserve">– </w:t>
      </w:r>
      <w:r w:rsidRPr="000253B8">
        <w:rPr>
          <w:color w:val="auto"/>
        </w:rPr>
        <w:t xml:space="preserve">Prawo o postępowaniu przed sądami </w:t>
      </w:r>
      <w:r w:rsidR="00B446D7">
        <w:rPr>
          <w:color w:val="auto"/>
        </w:rPr>
        <w:t>administracyjnymi</w:t>
      </w:r>
      <w:r w:rsidR="00941C24">
        <w:rPr>
          <w:color w:val="auto"/>
        </w:rPr>
        <w:t xml:space="preserve"> </w:t>
      </w:r>
      <w:r w:rsidRPr="000253B8">
        <w:rPr>
          <w:color w:val="auto"/>
        </w:rPr>
        <w:t xml:space="preserve">(art. 61 ust. 1 ustawy). </w:t>
      </w:r>
    </w:p>
    <w:p w:rsidR="001D283E" w:rsidRPr="000253B8" w:rsidRDefault="001D283E" w:rsidP="000253B8">
      <w:pPr>
        <w:pStyle w:val="Default"/>
        <w:numPr>
          <w:ilvl w:val="0"/>
          <w:numId w:val="42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 xml:space="preserve">Skarga wnoszona jest przez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nioskodawcę w terminie 14 dni od dnia otrzymania informacji, o której mowa w art. 58 ust. 1, art. 59 albo art. 66 ust. 2 pkt 1 ustawy, wraz </w:t>
      </w:r>
      <w:r w:rsidR="00962D9B">
        <w:rPr>
          <w:color w:val="auto"/>
        </w:rPr>
        <w:br/>
      </w:r>
      <w:r w:rsidRPr="000253B8">
        <w:rPr>
          <w:color w:val="auto"/>
        </w:rPr>
        <w:t>z kompletną dokumentacją w sprawie bezpośrednio do wojewódzkiego sądu administracyjnego. Skarga podlega wpisowi stałemu (na podstawie przepisów rozporządzenia Rady Ministrów z dnia 16 grudnia 2003 r. w sprawie wysokości oraz szczegółowych zasad pobierania wpisu w postępowaniu przed sądami administracyjnymi</w:t>
      </w:r>
      <w:r w:rsidR="00941C24">
        <w:rPr>
          <w:color w:val="auto"/>
        </w:rPr>
        <w:t>,</w:t>
      </w:r>
      <w:r w:rsidR="006008F5">
        <w:rPr>
          <w:color w:val="auto"/>
        </w:rPr>
        <w:t xml:space="preserve"> </w:t>
      </w:r>
      <w:r w:rsidRPr="000253B8">
        <w:rPr>
          <w:color w:val="auto"/>
        </w:rPr>
        <w:t>wydane</w:t>
      </w:r>
      <w:r w:rsidR="00B47AFE">
        <w:rPr>
          <w:color w:val="auto"/>
        </w:rPr>
        <w:t>mu</w:t>
      </w:r>
      <w:r w:rsidRPr="000253B8">
        <w:rPr>
          <w:color w:val="auto"/>
        </w:rPr>
        <w:t xml:space="preserve"> na podstawie art. 233 oraz art. 219 §</w:t>
      </w:r>
      <w:r w:rsidR="007467BB">
        <w:rPr>
          <w:color w:val="auto"/>
        </w:rPr>
        <w:t xml:space="preserve"> </w:t>
      </w:r>
      <w:r w:rsidRPr="000253B8">
        <w:rPr>
          <w:color w:val="auto"/>
        </w:rPr>
        <w:t>2 ustawy</w:t>
      </w:r>
      <w:r w:rsidR="00F83DF7" w:rsidRPr="000253B8">
        <w:rPr>
          <w:color w:val="auto"/>
        </w:rPr>
        <w:t xml:space="preserve"> </w:t>
      </w:r>
      <w:r w:rsidRPr="000253B8">
        <w:rPr>
          <w:color w:val="auto"/>
        </w:rPr>
        <w:t xml:space="preserve">z dnia 30 sierpnia 2002 r. </w:t>
      </w:r>
      <w:r w:rsidR="006008F5">
        <w:rPr>
          <w:color w:val="auto"/>
        </w:rPr>
        <w:t xml:space="preserve"> – </w:t>
      </w:r>
      <w:r w:rsidRPr="000253B8">
        <w:rPr>
          <w:color w:val="auto"/>
        </w:rPr>
        <w:t>Prawo o postępowaniu przed sądami administracyjnymi</w:t>
      </w:r>
      <w:r w:rsidR="00941C24">
        <w:rPr>
          <w:color w:val="auto"/>
        </w:rPr>
        <w:t>.</w:t>
      </w:r>
      <w:r w:rsidRPr="000253B8">
        <w:rPr>
          <w:color w:val="auto"/>
        </w:rPr>
        <w:t xml:space="preserve"> </w:t>
      </w:r>
    </w:p>
    <w:p w:rsidR="001D283E" w:rsidRPr="000253B8" w:rsidRDefault="001D283E" w:rsidP="000253B8">
      <w:pPr>
        <w:pStyle w:val="Default"/>
        <w:numPr>
          <w:ilvl w:val="0"/>
          <w:numId w:val="42"/>
        </w:numPr>
        <w:spacing w:after="27" w:line="276" w:lineRule="auto"/>
        <w:rPr>
          <w:color w:val="auto"/>
        </w:rPr>
      </w:pPr>
      <w:r w:rsidRPr="000253B8">
        <w:rPr>
          <w:color w:val="auto"/>
        </w:rPr>
        <w:t xml:space="preserve">W wyniku rozpoznania skargi sąd może: </w:t>
      </w:r>
    </w:p>
    <w:p w:rsidR="001D283E" w:rsidRPr="000253B8" w:rsidRDefault="001D283E" w:rsidP="000253B8">
      <w:pPr>
        <w:pStyle w:val="Default"/>
        <w:numPr>
          <w:ilvl w:val="0"/>
          <w:numId w:val="43"/>
        </w:numPr>
        <w:spacing w:line="276" w:lineRule="auto"/>
        <w:rPr>
          <w:color w:val="auto"/>
        </w:rPr>
      </w:pPr>
      <w:r w:rsidRPr="000253B8">
        <w:rPr>
          <w:color w:val="auto"/>
        </w:rPr>
        <w:t xml:space="preserve">uwzględnić skargę, stwierdzając, że: </w:t>
      </w:r>
    </w:p>
    <w:p w:rsidR="001D283E" w:rsidRPr="000253B8" w:rsidRDefault="001D283E" w:rsidP="000253B8">
      <w:pPr>
        <w:pStyle w:val="Default"/>
        <w:numPr>
          <w:ilvl w:val="0"/>
          <w:numId w:val="44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lastRenderedPageBreak/>
        <w:t>ocena projektu została przeprowadzona w sposób naruszający prawo i naruszenie to miało istotny wpływ na wynik oceny, przekazując jednocześnie sprawę do ponownego rozpatrzenia przez</w:t>
      </w:r>
      <w:r w:rsidR="00330F90">
        <w:rPr>
          <w:color w:val="auto"/>
        </w:rPr>
        <w:t xml:space="preserve">  DWEFS</w:t>
      </w:r>
      <w:r w:rsidR="002B018D" w:rsidRPr="000253B8">
        <w:rPr>
          <w:color w:val="auto"/>
        </w:rPr>
        <w:t>;</w:t>
      </w:r>
      <w:r w:rsidRPr="000253B8">
        <w:rPr>
          <w:color w:val="auto"/>
        </w:rPr>
        <w:t xml:space="preserve"> </w:t>
      </w:r>
    </w:p>
    <w:p w:rsidR="001D283E" w:rsidRPr="000253B8" w:rsidRDefault="001D283E" w:rsidP="000253B8">
      <w:pPr>
        <w:pStyle w:val="Default"/>
        <w:numPr>
          <w:ilvl w:val="0"/>
          <w:numId w:val="44"/>
        </w:numPr>
        <w:spacing w:line="276" w:lineRule="auto"/>
        <w:jc w:val="both"/>
        <w:rPr>
          <w:color w:val="auto"/>
        </w:rPr>
      </w:pPr>
      <w:r w:rsidRPr="000253B8">
        <w:rPr>
          <w:color w:val="auto"/>
        </w:rPr>
        <w:t>pozostawienie protestu bez rozpatrzenia było nieuzasadnione, przekazując sprawę do rozpatrzenia przez;</w:t>
      </w:r>
      <w:r w:rsidR="00330F90">
        <w:rPr>
          <w:color w:val="auto"/>
        </w:rPr>
        <w:t xml:space="preserve"> DWEFS</w:t>
      </w:r>
      <w:r w:rsidRPr="000253B8">
        <w:rPr>
          <w:color w:val="auto"/>
        </w:rPr>
        <w:t xml:space="preserve"> </w:t>
      </w:r>
    </w:p>
    <w:p w:rsidR="001D283E" w:rsidRPr="000253B8" w:rsidRDefault="001D283E" w:rsidP="000253B8">
      <w:pPr>
        <w:pStyle w:val="Default"/>
        <w:numPr>
          <w:ilvl w:val="0"/>
          <w:numId w:val="43"/>
        </w:numPr>
        <w:spacing w:line="276" w:lineRule="auto"/>
        <w:rPr>
          <w:color w:val="auto"/>
        </w:rPr>
      </w:pPr>
      <w:r w:rsidRPr="000253B8">
        <w:rPr>
          <w:color w:val="auto"/>
        </w:rPr>
        <w:t xml:space="preserve">oddalić skargę w przypadku jej nieuwzględnienia; </w:t>
      </w:r>
    </w:p>
    <w:p w:rsidR="001D283E" w:rsidRPr="000253B8" w:rsidRDefault="001D283E" w:rsidP="000253B8">
      <w:pPr>
        <w:pStyle w:val="Default"/>
        <w:numPr>
          <w:ilvl w:val="0"/>
          <w:numId w:val="43"/>
        </w:numPr>
        <w:spacing w:after="60" w:line="276" w:lineRule="auto"/>
        <w:ind w:hanging="357"/>
        <w:rPr>
          <w:color w:val="auto"/>
        </w:rPr>
      </w:pPr>
      <w:r w:rsidRPr="000253B8">
        <w:rPr>
          <w:color w:val="auto"/>
        </w:rPr>
        <w:t xml:space="preserve">umorzyć postępowanie w sprawie, jeżeli jest ono bezprzedmiotowe. </w:t>
      </w:r>
    </w:p>
    <w:p w:rsidR="001D283E" w:rsidRPr="000253B8" w:rsidRDefault="001D283E" w:rsidP="000253B8">
      <w:pPr>
        <w:pStyle w:val="Default"/>
        <w:numPr>
          <w:ilvl w:val="0"/>
          <w:numId w:val="42"/>
        </w:numPr>
        <w:spacing w:after="60" w:line="276" w:lineRule="auto"/>
        <w:ind w:hanging="357"/>
        <w:jc w:val="both"/>
        <w:rPr>
          <w:color w:val="auto"/>
        </w:rPr>
      </w:pPr>
      <w:r w:rsidRPr="000253B8">
        <w:rPr>
          <w:color w:val="auto"/>
        </w:rPr>
        <w:t xml:space="preserve">Na prawo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nioskodawcy do wniesienia skargi do wojewódzkiego sądu administracyjnego nie wpływa negatywnie błędne pouczenie lub brak pouczenia (art. 63 ustawy). </w:t>
      </w:r>
    </w:p>
    <w:p w:rsidR="001D283E" w:rsidRDefault="001D283E" w:rsidP="000253B8">
      <w:pPr>
        <w:pStyle w:val="Default"/>
        <w:spacing w:line="276" w:lineRule="auto"/>
        <w:jc w:val="center"/>
        <w:rPr>
          <w:color w:val="auto"/>
        </w:rPr>
      </w:pPr>
    </w:p>
    <w:p w:rsidR="00B15954" w:rsidRPr="000253B8" w:rsidRDefault="00B15954" w:rsidP="000253B8">
      <w:pPr>
        <w:pStyle w:val="Default"/>
        <w:spacing w:line="276" w:lineRule="auto"/>
        <w:jc w:val="center"/>
        <w:rPr>
          <w:color w:val="auto"/>
        </w:rPr>
      </w:pP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§ 13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Skarga kasacyjna</w:t>
      </w:r>
    </w:p>
    <w:p w:rsidR="001D283E" w:rsidRPr="000253B8" w:rsidRDefault="001D283E" w:rsidP="000253B8">
      <w:pPr>
        <w:pStyle w:val="Default"/>
        <w:numPr>
          <w:ilvl w:val="0"/>
          <w:numId w:val="45"/>
        </w:numPr>
        <w:spacing w:after="27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Skargę kasacyjną, wraz z kompletną dokumentacją, może wnieść bezpośrednio do Naczelnego Sądu Administracyjnego w Warszawie: </w:t>
      </w:r>
    </w:p>
    <w:p w:rsidR="001D283E" w:rsidRPr="000253B8" w:rsidRDefault="00941C24" w:rsidP="000253B8">
      <w:pPr>
        <w:pStyle w:val="Default"/>
        <w:numPr>
          <w:ilvl w:val="0"/>
          <w:numId w:val="46"/>
        </w:numPr>
        <w:spacing w:after="27" w:line="276" w:lineRule="auto"/>
        <w:rPr>
          <w:color w:val="auto"/>
        </w:rPr>
      </w:pPr>
      <w:r>
        <w:rPr>
          <w:color w:val="auto"/>
        </w:rPr>
        <w:t>W</w:t>
      </w:r>
      <w:r w:rsidR="001D283E" w:rsidRPr="000253B8">
        <w:rPr>
          <w:color w:val="auto"/>
        </w:rPr>
        <w:t xml:space="preserve">nioskodawca, </w:t>
      </w:r>
    </w:p>
    <w:p w:rsidR="001D283E" w:rsidRPr="000253B8" w:rsidRDefault="001D283E" w:rsidP="000253B8">
      <w:pPr>
        <w:pStyle w:val="Default"/>
        <w:numPr>
          <w:ilvl w:val="0"/>
          <w:numId w:val="46"/>
        </w:numPr>
        <w:spacing w:after="120" w:line="276" w:lineRule="auto"/>
        <w:rPr>
          <w:color w:val="auto"/>
        </w:rPr>
      </w:pPr>
      <w:r w:rsidRPr="000253B8">
        <w:rPr>
          <w:color w:val="auto"/>
        </w:rPr>
        <w:t>IZ RPOW</w:t>
      </w:r>
      <w:r w:rsidR="00A1006D" w:rsidRPr="000253B8">
        <w:rPr>
          <w:color w:val="auto"/>
        </w:rPr>
        <w:t>Ś</w:t>
      </w:r>
      <w:r w:rsidRPr="000253B8">
        <w:rPr>
          <w:color w:val="auto"/>
        </w:rPr>
        <w:t xml:space="preserve">, </w:t>
      </w:r>
    </w:p>
    <w:p w:rsidR="00A1006D" w:rsidRPr="000253B8" w:rsidRDefault="001D283E" w:rsidP="00962D9B">
      <w:pPr>
        <w:pStyle w:val="Default"/>
        <w:numPr>
          <w:ilvl w:val="0"/>
          <w:numId w:val="47"/>
        </w:numPr>
        <w:spacing w:after="120" w:line="276" w:lineRule="auto"/>
        <w:jc w:val="both"/>
        <w:rPr>
          <w:color w:val="auto"/>
        </w:rPr>
      </w:pPr>
      <w:r w:rsidRPr="000253B8">
        <w:rPr>
          <w:color w:val="auto"/>
        </w:rPr>
        <w:t xml:space="preserve">w terminie 14 dni od dnia doręczenia rozstrzygnięcia Wojewódzkiego Sądu </w:t>
      </w:r>
      <w:r w:rsidR="00962D9B">
        <w:rPr>
          <w:color w:val="auto"/>
        </w:rPr>
        <w:t>A</w:t>
      </w:r>
      <w:r w:rsidRPr="000253B8">
        <w:rPr>
          <w:color w:val="auto"/>
        </w:rPr>
        <w:t xml:space="preserve">dministracyjnego w </w:t>
      </w:r>
      <w:r w:rsidR="00A1006D" w:rsidRPr="000253B8">
        <w:rPr>
          <w:color w:val="auto"/>
        </w:rPr>
        <w:t>Kielcach</w:t>
      </w:r>
      <w:r w:rsidRPr="000253B8">
        <w:rPr>
          <w:color w:val="auto"/>
        </w:rPr>
        <w:t xml:space="preserve"> (art. 62 ustawy). </w:t>
      </w:r>
    </w:p>
    <w:p w:rsidR="00A1006D" w:rsidRPr="000253B8" w:rsidRDefault="00A1006D" w:rsidP="000253B8">
      <w:pPr>
        <w:pStyle w:val="Default"/>
        <w:spacing w:line="276" w:lineRule="auto"/>
        <w:jc w:val="center"/>
        <w:rPr>
          <w:color w:val="auto"/>
        </w:rPr>
      </w:pPr>
    </w:p>
    <w:p w:rsidR="00B15954" w:rsidRDefault="00B15954" w:rsidP="000253B8">
      <w:pPr>
        <w:pStyle w:val="Default"/>
        <w:spacing w:line="276" w:lineRule="auto"/>
        <w:jc w:val="center"/>
        <w:rPr>
          <w:color w:val="auto"/>
        </w:rPr>
      </w:pPr>
    </w:p>
    <w:p w:rsidR="001D283E" w:rsidRPr="000253B8" w:rsidRDefault="001B02C7" w:rsidP="000253B8">
      <w:pPr>
        <w:pStyle w:val="Default"/>
        <w:spacing w:line="276" w:lineRule="auto"/>
        <w:jc w:val="center"/>
        <w:rPr>
          <w:color w:val="auto"/>
        </w:rPr>
      </w:pPr>
      <w:r w:rsidRPr="001B02C7">
        <w:rPr>
          <w:b/>
          <w:color w:val="auto"/>
        </w:rPr>
        <w:t>§</w:t>
      </w:r>
      <w:r w:rsidR="001D283E" w:rsidRPr="000253B8">
        <w:rPr>
          <w:color w:val="auto"/>
        </w:rPr>
        <w:t xml:space="preserve"> </w:t>
      </w:r>
      <w:r w:rsidR="001D283E" w:rsidRPr="000253B8">
        <w:rPr>
          <w:b/>
          <w:bCs/>
          <w:color w:val="auto"/>
        </w:rPr>
        <w:t>14</w:t>
      </w:r>
    </w:p>
    <w:p w:rsidR="001D283E" w:rsidRPr="000253B8" w:rsidRDefault="001D283E" w:rsidP="000253B8">
      <w:pPr>
        <w:pStyle w:val="Default"/>
        <w:spacing w:line="276" w:lineRule="auto"/>
        <w:jc w:val="center"/>
        <w:rPr>
          <w:color w:val="auto"/>
        </w:rPr>
      </w:pPr>
      <w:r w:rsidRPr="000253B8">
        <w:rPr>
          <w:b/>
          <w:bCs/>
          <w:color w:val="auto"/>
        </w:rPr>
        <w:t>Postanowienia końcowe</w:t>
      </w:r>
    </w:p>
    <w:p w:rsidR="001D283E" w:rsidRPr="000253B8" w:rsidRDefault="001D283E" w:rsidP="000253B8">
      <w:pPr>
        <w:pStyle w:val="Default"/>
        <w:numPr>
          <w:ilvl w:val="0"/>
          <w:numId w:val="48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 xml:space="preserve">Procedura odwoławcza nie wstrzymuje zawierania umów z </w:t>
      </w:r>
      <w:r w:rsidR="00941C24">
        <w:rPr>
          <w:color w:val="auto"/>
        </w:rPr>
        <w:t>W</w:t>
      </w:r>
      <w:r w:rsidRPr="000253B8">
        <w:rPr>
          <w:color w:val="auto"/>
        </w:rPr>
        <w:t xml:space="preserve">nioskodawcami, których projekty zostały zakwalifikowane do dofinansowania, w tym nie wstrzymuje biegu procedury wyboru projektów (art. 65 ustawy). </w:t>
      </w:r>
    </w:p>
    <w:p w:rsidR="001D283E" w:rsidRPr="000253B8" w:rsidRDefault="001D283E" w:rsidP="000253B8">
      <w:pPr>
        <w:pStyle w:val="Default"/>
        <w:numPr>
          <w:ilvl w:val="0"/>
          <w:numId w:val="48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 xml:space="preserve">Do procedury odwoławczej nie stosuje się przepisów kodeksu postępowania administracyjnego, z wyjątkiem przepisów dotyczących wyłączenia pracowników organu, doręczeń i sposobu obliczania terminów (art. 67 ustawy). </w:t>
      </w:r>
    </w:p>
    <w:p w:rsidR="001D283E" w:rsidRPr="000253B8" w:rsidRDefault="001D283E" w:rsidP="000253B8">
      <w:pPr>
        <w:pStyle w:val="Default"/>
        <w:numPr>
          <w:ilvl w:val="0"/>
          <w:numId w:val="48"/>
        </w:numPr>
        <w:spacing w:after="60" w:line="276" w:lineRule="auto"/>
        <w:ind w:left="357" w:hanging="357"/>
        <w:jc w:val="both"/>
        <w:rPr>
          <w:color w:val="auto"/>
        </w:rPr>
      </w:pPr>
      <w:r w:rsidRPr="000253B8">
        <w:rPr>
          <w:color w:val="auto"/>
        </w:rPr>
        <w:t xml:space="preserve">Rozpatrzenie protestu nie stanowi decyzji administracyjnej. </w:t>
      </w:r>
    </w:p>
    <w:p w:rsidR="000F74D3" w:rsidRPr="000253B8" w:rsidRDefault="000F74D3" w:rsidP="000253B8">
      <w:pPr>
        <w:spacing w:line="276" w:lineRule="auto"/>
      </w:pPr>
    </w:p>
    <w:p w:rsidR="006B0FF1" w:rsidRDefault="006B0FF1" w:rsidP="006B0FF1">
      <w:pPr>
        <w:autoSpaceDE w:val="0"/>
        <w:adjustRightInd w:val="0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Default="006B0FF1" w:rsidP="006B0FF1">
      <w:pPr>
        <w:autoSpaceDE w:val="0"/>
        <w:adjustRightInd w:val="0"/>
        <w:ind w:left="6372"/>
        <w:rPr>
          <w:rFonts w:ascii="Arial" w:hAnsi="Arial" w:cs="Arial"/>
          <w:sz w:val="16"/>
          <w:szCs w:val="16"/>
        </w:rPr>
      </w:pPr>
    </w:p>
    <w:p w:rsidR="006B0FF1" w:rsidRPr="00B7554E" w:rsidRDefault="006B0FF1" w:rsidP="006B0FF1">
      <w:pPr>
        <w:autoSpaceDE w:val="0"/>
        <w:adjustRightInd w:val="0"/>
        <w:ind w:left="6372"/>
        <w:rPr>
          <w:sz w:val="20"/>
          <w:szCs w:val="20"/>
        </w:rPr>
      </w:pPr>
      <w:r w:rsidRPr="00B7554E">
        <w:rPr>
          <w:sz w:val="20"/>
          <w:szCs w:val="20"/>
        </w:rPr>
        <w:lastRenderedPageBreak/>
        <w:t xml:space="preserve">    </w:t>
      </w:r>
    </w:p>
    <w:p w:rsidR="006B0FF1" w:rsidRPr="00B7554E" w:rsidRDefault="006B0FF1" w:rsidP="006B0FF1">
      <w:pPr>
        <w:autoSpaceDE w:val="0"/>
        <w:adjustRightInd w:val="0"/>
        <w:ind w:left="6372"/>
        <w:rPr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ind w:left="6372"/>
        <w:rPr>
          <w:sz w:val="20"/>
          <w:szCs w:val="20"/>
        </w:rPr>
      </w:pPr>
      <w:r w:rsidRPr="00B7554E">
        <w:rPr>
          <w:sz w:val="20"/>
          <w:szCs w:val="20"/>
        </w:rPr>
        <w:t xml:space="preserve">  Miejscowość, data </w:t>
      </w:r>
    </w:p>
    <w:p w:rsidR="006B0FF1" w:rsidRPr="00B7554E" w:rsidRDefault="006B0FF1" w:rsidP="006B0FF1">
      <w:pPr>
        <w:autoSpaceDE w:val="0"/>
        <w:adjustRightInd w:val="0"/>
        <w:rPr>
          <w:sz w:val="20"/>
          <w:szCs w:val="20"/>
        </w:rPr>
      </w:pPr>
      <w:r w:rsidRPr="00B7554E">
        <w:rPr>
          <w:sz w:val="20"/>
          <w:szCs w:val="20"/>
        </w:rPr>
        <w:t>………………………</w:t>
      </w:r>
    </w:p>
    <w:p w:rsidR="006B0FF1" w:rsidRPr="00B7554E" w:rsidRDefault="006B0FF1" w:rsidP="006B0FF1">
      <w:pPr>
        <w:autoSpaceDE w:val="0"/>
        <w:adjustRightInd w:val="0"/>
        <w:rPr>
          <w:sz w:val="20"/>
          <w:szCs w:val="20"/>
        </w:rPr>
      </w:pPr>
      <w:r w:rsidRPr="00B7554E">
        <w:rPr>
          <w:sz w:val="20"/>
          <w:szCs w:val="20"/>
        </w:rPr>
        <w:t>Nazwa Wnioskodawcy</w:t>
      </w:r>
    </w:p>
    <w:p w:rsidR="006B0FF1" w:rsidRPr="00B7554E" w:rsidRDefault="006B0FF1" w:rsidP="006B0FF1">
      <w:pPr>
        <w:autoSpaceDE w:val="0"/>
        <w:adjustRightInd w:val="0"/>
        <w:rPr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rPr>
          <w:sz w:val="20"/>
          <w:szCs w:val="20"/>
        </w:rPr>
      </w:pPr>
      <w:r w:rsidRPr="00B7554E">
        <w:rPr>
          <w:sz w:val="20"/>
          <w:szCs w:val="20"/>
        </w:rPr>
        <w:t>…………………………</w:t>
      </w:r>
    </w:p>
    <w:p w:rsidR="006B0FF1" w:rsidRPr="00B7554E" w:rsidRDefault="006B0FF1" w:rsidP="006B0FF1">
      <w:pPr>
        <w:autoSpaceDE w:val="0"/>
        <w:adjustRightInd w:val="0"/>
        <w:rPr>
          <w:sz w:val="20"/>
          <w:szCs w:val="20"/>
        </w:rPr>
      </w:pPr>
      <w:r w:rsidRPr="00B7554E">
        <w:rPr>
          <w:sz w:val="20"/>
          <w:szCs w:val="20"/>
        </w:rPr>
        <w:t>Adres Wnioskodawcy</w:t>
      </w:r>
      <w:r w:rsidRPr="00B7554E">
        <w:rPr>
          <w:sz w:val="20"/>
          <w:szCs w:val="20"/>
        </w:rPr>
        <w:tab/>
      </w:r>
      <w:r w:rsidRPr="00B7554E">
        <w:rPr>
          <w:sz w:val="20"/>
          <w:szCs w:val="20"/>
        </w:rPr>
        <w:tab/>
      </w:r>
      <w:r w:rsidRPr="00B7554E">
        <w:rPr>
          <w:sz w:val="20"/>
          <w:szCs w:val="20"/>
        </w:rPr>
        <w:tab/>
      </w:r>
      <w:r w:rsidRPr="00B7554E">
        <w:rPr>
          <w:sz w:val="20"/>
          <w:szCs w:val="20"/>
        </w:rPr>
        <w:tab/>
      </w:r>
      <w:r w:rsidRPr="00B7554E">
        <w:rPr>
          <w:sz w:val="20"/>
          <w:szCs w:val="20"/>
        </w:rPr>
        <w:tab/>
      </w:r>
      <w:r w:rsidRPr="00B7554E">
        <w:rPr>
          <w:sz w:val="20"/>
          <w:szCs w:val="20"/>
        </w:rPr>
        <w:tab/>
      </w:r>
      <w:r w:rsidRPr="00B7554E">
        <w:rPr>
          <w:sz w:val="20"/>
          <w:szCs w:val="20"/>
        </w:rPr>
        <w:tab/>
      </w:r>
    </w:p>
    <w:p w:rsidR="006B0FF1" w:rsidRPr="00B7554E" w:rsidRDefault="006B0FF1" w:rsidP="006B0FF1">
      <w:pPr>
        <w:autoSpaceDE w:val="0"/>
        <w:adjustRightInd w:val="0"/>
        <w:spacing w:line="360" w:lineRule="auto"/>
        <w:jc w:val="right"/>
        <w:rPr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spacing w:line="360" w:lineRule="auto"/>
        <w:jc w:val="right"/>
        <w:rPr>
          <w:sz w:val="20"/>
          <w:szCs w:val="20"/>
        </w:rPr>
      </w:pPr>
      <w:r w:rsidRPr="00B7554E">
        <w:rPr>
          <w:sz w:val="20"/>
          <w:szCs w:val="20"/>
        </w:rPr>
        <w:t>Departament Wdrażania Europejskiego Funduszu Społecznego</w:t>
      </w:r>
    </w:p>
    <w:p w:rsidR="006B0FF1" w:rsidRPr="00B7554E" w:rsidRDefault="006B0FF1" w:rsidP="006B0FF1">
      <w:pPr>
        <w:autoSpaceDE w:val="0"/>
        <w:adjustRightInd w:val="0"/>
        <w:spacing w:line="360" w:lineRule="auto"/>
        <w:jc w:val="right"/>
        <w:rPr>
          <w:sz w:val="20"/>
          <w:szCs w:val="20"/>
        </w:rPr>
      </w:pPr>
      <w:r w:rsidRPr="00B7554E">
        <w:rPr>
          <w:sz w:val="20"/>
          <w:szCs w:val="20"/>
        </w:rPr>
        <w:t>Urząd Marszałkowski Województwa Świętokrzyskiego</w:t>
      </w:r>
    </w:p>
    <w:p w:rsidR="006B0FF1" w:rsidRPr="00B7554E" w:rsidRDefault="006B0FF1" w:rsidP="006B0FF1">
      <w:pPr>
        <w:autoSpaceDE w:val="0"/>
        <w:adjustRightInd w:val="0"/>
        <w:spacing w:line="360" w:lineRule="auto"/>
        <w:jc w:val="right"/>
        <w:rPr>
          <w:sz w:val="20"/>
          <w:szCs w:val="20"/>
        </w:rPr>
      </w:pPr>
      <w:r w:rsidRPr="00B7554E">
        <w:rPr>
          <w:sz w:val="20"/>
          <w:szCs w:val="20"/>
        </w:rPr>
        <w:t xml:space="preserve">ul. H. Sienkiewicza 27, </w:t>
      </w:r>
    </w:p>
    <w:p w:rsidR="006B0FF1" w:rsidRPr="00B7554E" w:rsidRDefault="006B0FF1" w:rsidP="006B0FF1">
      <w:pPr>
        <w:autoSpaceDE w:val="0"/>
        <w:adjustRightInd w:val="0"/>
        <w:spacing w:line="360" w:lineRule="auto"/>
        <w:jc w:val="right"/>
        <w:rPr>
          <w:sz w:val="20"/>
          <w:szCs w:val="20"/>
        </w:rPr>
      </w:pPr>
      <w:r w:rsidRPr="00B7554E">
        <w:rPr>
          <w:sz w:val="20"/>
          <w:szCs w:val="20"/>
        </w:rPr>
        <w:t>25-007 Kielce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  <w:r w:rsidRPr="00B7554E">
        <w:rPr>
          <w:sz w:val="20"/>
          <w:szCs w:val="20"/>
        </w:rPr>
        <w:t>Numer wniosku:………………………………………</w:t>
      </w:r>
      <w:r w:rsidR="00591CDE">
        <w:rPr>
          <w:sz w:val="20"/>
          <w:szCs w:val="20"/>
        </w:rPr>
        <w:t>…………………………………</w:t>
      </w:r>
      <w:r w:rsidRPr="00B7554E">
        <w:rPr>
          <w:sz w:val="20"/>
          <w:szCs w:val="20"/>
        </w:rPr>
        <w:t>………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  <w:r w:rsidRPr="00B7554E">
        <w:rPr>
          <w:sz w:val="20"/>
          <w:szCs w:val="20"/>
        </w:rPr>
        <w:t>Etap oceny od której wnoszony jest protest: (formalnej lub merytorycznej)……………………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  <w:r w:rsidRPr="00B7554E">
        <w:rPr>
          <w:sz w:val="20"/>
          <w:szCs w:val="20"/>
        </w:rPr>
        <w:t>Numer konkursu: ………………………………</w:t>
      </w:r>
      <w:r w:rsidR="00591CDE">
        <w:rPr>
          <w:sz w:val="20"/>
          <w:szCs w:val="20"/>
        </w:rPr>
        <w:t>…………………………..</w:t>
      </w:r>
      <w:r w:rsidRPr="00B7554E">
        <w:rPr>
          <w:sz w:val="20"/>
          <w:szCs w:val="20"/>
        </w:rPr>
        <w:t>……………………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spacing w:line="360" w:lineRule="auto"/>
        <w:jc w:val="center"/>
        <w:rPr>
          <w:sz w:val="20"/>
          <w:szCs w:val="20"/>
        </w:rPr>
      </w:pPr>
      <w:r w:rsidRPr="00B7554E">
        <w:rPr>
          <w:sz w:val="20"/>
          <w:szCs w:val="20"/>
        </w:rPr>
        <w:t>PROTEST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spacing w:line="360" w:lineRule="auto"/>
        <w:ind w:firstLine="708"/>
        <w:jc w:val="both"/>
        <w:rPr>
          <w:sz w:val="20"/>
          <w:szCs w:val="20"/>
        </w:rPr>
      </w:pPr>
      <w:r w:rsidRPr="00B7554E">
        <w:rPr>
          <w:sz w:val="20"/>
          <w:szCs w:val="20"/>
        </w:rPr>
        <w:t>W odpowiedzi na pismo znak</w:t>
      </w:r>
      <w:r w:rsidR="00591CDE">
        <w:rPr>
          <w:sz w:val="20"/>
          <w:szCs w:val="20"/>
        </w:rPr>
        <w:t xml:space="preserve"> </w:t>
      </w:r>
      <w:r w:rsidRPr="00B7554E">
        <w:rPr>
          <w:sz w:val="20"/>
          <w:szCs w:val="20"/>
        </w:rPr>
        <w:t>………</w:t>
      </w:r>
      <w:r w:rsidR="00591CDE">
        <w:rPr>
          <w:sz w:val="20"/>
          <w:szCs w:val="20"/>
        </w:rPr>
        <w:t>………..</w:t>
      </w:r>
      <w:r w:rsidRPr="00B7554E">
        <w:rPr>
          <w:sz w:val="20"/>
          <w:szCs w:val="20"/>
        </w:rPr>
        <w:t>…….. z dnia</w:t>
      </w:r>
      <w:r w:rsidR="00591CDE">
        <w:rPr>
          <w:sz w:val="20"/>
          <w:szCs w:val="20"/>
        </w:rPr>
        <w:t xml:space="preserve"> </w:t>
      </w:r>
      <w:r w:rsidRPr="00B7554E">
        <w:rPr>
          <w:sz w:val="20"/>
          <w:szCs w:val="20"/>
        </w:rPr>
        <w:t>……</w:t>
      </w:r>
      <w:r w:rsidR="00591CDE">
        <w:rPr>
          <w:sz w:val="20"/>
          <w:szCs w:val="20"/>
        </w:rPr>
        <w:t>……….</w:t>
      </w:r>
      <w:r w:rsidRPr="00B7554E">
        <w:rPr>
          <w:sz w:val="20"/>
          <w:szCs w:val="20"/>
        </w:rPr>
        <w:t>……….., dotyczące projektu pt.:</w:t>
      </w:r>
      <w:r w:rsidR="00591CDE">
        <w:rPr>
          <w:sz w:val="20"/>
          <w:szCs w:val="20"/>
        </w:rPr>
        <w:t xml:space="preserve"> </w:t>
      </w:r>
      <w:r w:rsidRPr="00B7554E">
        <w:rPr>
          <w:sz w:val="20"/>
          <w:szCs w:val="20"/>
        </w:rPr>
        <w:t>………………</w:t>
      </w:r>
      <w:r w:rsidR="00591CDE">
        <w:rPr>
          <w:sz w:val="20"/>
          <w:szCs w:val="20"/>
        </w:rPr>
        <w:t>………...</w:t>
      </w:r>
      <w:r w:rsidRPr="00B7554E">
        <w:rPr>
          <w:sz w:val="20"/>
          <w:szCs w:val="20"/>
        </w:rPr>
        <w:t xml:space="preserve">……………(tytuł projektu) i zgodnie z art. 53 ust 1. </w:t>
      </w:r>
      <w:r w:rsidRPr="00B7554E">
        <w:rPr>
          <w:i/>
          <w:sz w:val="20"/>
          <w:szCs w:val="20"/>
        </w:rPr>
        <w:t xml:space="preserve">ustawy z dnia 11 lipca 2014 r. </w:t>
      </w:r>
      <w:r w:rsidRPr="00B7554E">
        <w:rPr>
          <w:i/>
          <w:sz w:val="20"/>
          <w:szCs w:val="20"/>
        </w:rPr>
        <w:br/>
        <w:t>o zasadach realizacji programów w zakresie polityki spójności finansowych w perspektywie finansowej 2014-2020</w:t>
      </w:r>
      <w:r w:rsidRPr="00B7554E">
        <w:rPr>
          <w:sz w:val="20"/>
          <w:szCs w:val="20"/>
        </w:rPr>
        <w:t xml:space="preserve">, wnoszę </w:t>
      </w:r>
      <w:r w:rsidRPr="00B7554E">
        <w:rPr>
          <w:b/>
          <w:sz w:val="20"/>
          <w:szCs w:val="20"/>
        </w:rPr>
        <w:t xml:space="preserve">protest </w:t>
      </w:r>
      <w:r w:rsidRPr="00B7554E">
        <w:rPr>
          <w:sz w:val="20"/>
          <w:szCs w:val="20"/>
        </w:rPr>
        <w:t>od jego negatywnej oceny, w zakresie następujących kryteriów wyboru projektów: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rPr>
          <w:b/>
          <w:sz w:val="20"/>
          <w:szCs w:val="20"/>
        </w:rPr>
      </w:pPr>
      <w:r w:rsidRPr="00B7554E">
        <w:rPr>
          <w:b/>
          <w:sz w:val="20"/>
          <w:szCs w:val="20"/>
        </w:rPr>
        <w:t>1)…………………….…………………………………………………………………………………………</w:t>
      </w:r>
      <w:r w:rsidR="00591CDE">
        <w:rPr>
          <w:b/>
          <w:sz w:val="20"/>
          <w:szCs w:val="20"/>
        </w:rPr>
        <w:t>…</w:t>
      </w:r>
      <w:r w:rsidRPr="00B7554E">
        <w:rPr>
          <w:b/>
          <w:sz w:val="20"/>
          <w:szCs w:val="20"/>
        </w:rPr>
        <w:t>…</w:t>
      </w:r>
      <w:r w:rsidRPr="00B7554E">
        <w:rPr>
          <w:b/>
          <w:sz w:val="20"/>
          <w:szCs w:val="20"/>
        </w:rPr>
        <w:br/>
        <w:t xml:space="preserve">                                    (wpisz nazwę kryterium wyboru projektu, z którego oceną się nie zgadzasz)</w:t>
      </w:r>
    </w:p>
    <w:p w:rsidR="006B0FF1" w:rsidRPr="00B7554E" w:rsidRDefault="006B0FF1" w:rsidP="006B0FF1">
      <w:pPr>
        <w:autoSpaceDE w:val="0"/>
        <w:adjustRightInd w:val="0"/>
        <w:rPr>
          <w:b/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  <w:r w:rsidRPr="00B7554E">
        <w:rPr>
          <w:sz w:val="20"/>
          <w:szCs w:val="20"/>
        </w:rPr>
        <w:t>Argumenty świadczące o spełnieniu kryterium:………………………………………………………………</w:t>
      </w:r>
      <w:r w:rsidR="00591CDE">
        <w:rPr>
          <w:sz w:val="20"/>
          <w:szCs w:val="20"/>
        </w:rPr>
        <w:t>….…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  <w:r w:rsidRPr="00B7554E">
        <w:rPr>
          <w:sz w:val="20"/>
          <w:szCs w:val="20"/>
        </w:rPr>
        <w:t>……………………………………………………………………………………………………………………</w:t>
      </w:r>
      <w:r w:rsidR="00591CDE">
        <w:rPr>
          <w:sz w:val="20"/>
          <w:szCs w:val="20"/>
        </w:rPr>
        <w:t>…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b/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rPr>
          <w:b/>
          <w:sz w:val="20"/>
          <w:szCs w:val="20"/>
        </w:rPr>
      </w:pPr>
      <w:r w:rsidRPr="00B7554E">
        <w:rPr>
          <w:b/>
          <w:sz w:val="20"/>
          <w:szCs w:val="20"/>
        </w:rPr>
        <w:t xml:space="preserve">2) …………………………………………………………………………………………………………………… </w:t>
      </w:r>
      <w:r w:rsidRPr="00B7554E">
        <w:rPr>
          <w:b/>
          <w:sz w:val="20"/>
          <w:szCs w:val="20"/>
        </w:rPr>
        <w:br/>
        <w:t xml:space="preserve">                             (wpisz nazwę kolejnego kryterium wyboru projektu, z którego oceną się nie zgadzasz)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  <w:r w:rsidRPr="00B7554E">
        <w:rPr>
          <w:sz w:val="20"/>
          <w:szCs w:val="20"/>
        </w:rPr>
        <w:t>Argumenty świadczące o spełnieniu kryterium:  ………………………………….……………………</w:t>
      </w:r>
      <w:r w:rsidR="00591CDE">
        <w:rPr>
          <w:sz w:val="20"/>
          <w:szCs w:val="20"/>
        </w:rPr>
        <w:t>……</w:t>
      </w:r>
      <w:r w:rsidRPr="00B7554E">
        <w:rPr>
          <w:sz w:val="20"/>
          <w:szCs w:val="20"/>
        </w:rPr>
        <w:t>…….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  <w:r w:rsidRPr="00B7554E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b/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  <w:r w:rsidRPr="00B7554E">
        <w:rPr>
          <w:b/>
          <w:sz w:val="20"/>
          <w:szCs w:val="20"/>
        </w:rPr>
        <w:t>Ewentualne zarzuty o charakterze proceduralnym w zakresie przeprowadzonej oceny:</w:t>
      </w:r>
      <w:r w:rsidRPr="00B7554E">
        <w:rPr>
          <w:sz w:val="20"/>
          <w:szCs w:val="20"/>
        </w:rPr>
        <w:t>………</w:t>
      </w:r>
      <w:r w:rsidR="00591CDE">
        <w:rPr>
          <w:sz w:val="20"/>
          <w:szCs w:val="20"/>
        </w:rPr>
        <w:t>…………</w:t>
      </w:r>
      <w:r w:rsidRPr="00B7554E">
        <w:rPr>
          <w:sz w:val="20"/>
          <w:szCs w:val="20"/>
        </w:rPr>
        <w:t>….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  <w:r w:rsidRPr="00B7554E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B0FF1" w:rsidRPr="00B7554E" w:rsidRDefault="006B0FF1" w:rsidP="006B0FF1">
      <w:pPr>
        <w:autoSpaceDE w:val="0"/>
        <w:adjustRightInd w:val="0"/>
        <w:spacing w:line="360" w:lineRule="auto"/>
        <w:ind w:left="3540" w:firstLine="708"/>
        <w:rPr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spacing w:line="360" w:lineRule="auto"/>
        <w:ind w:left="3540" w:firstLine="708"/>
        <w:rPr>
          <w:sz w:val="20"/>
          <w:szCs w:val="20"/>
        </w:rPr>
      </w:pPr>
    </w:p>
    <w:p w:rsidR="006B0FF1" w:rsidRPr="00B7554E" w:rsidRDefault="006B0FF1" w:rsidP="006B0FF1">
      <w:pPr>
        <w:autoSpaceDE w:val="0"/>
        <w:adjustRightInd w:val="0"/>
        <w:spacing w:line="360" w:lineRule="auto"/>
        <w:ind w:left="3540" w:firstLine="708"/>
        <w:rPr>
          <w:sz w:val="20"/>
          <w:szCs w:val="20"/>
        </w:rPr>
      </w:pPr>
      <w:r w:rsidRPr="00B7554E">
        <w:rPr>
          <w:sz w:val="20"/>
          <w:szCs w:val="20"/>
        </w:rPr>
        <w:t>……..…………………………………………….</w:t>
      </w:r>
    </w:p>
    <w:p w:rsidR="006B0FF1" w:rsidRPr="00B7554E" w:rsidRDefault="006B0FF1" w:rsidP="006B0FF1">
      <w:pPr>
        <w:autoSpaceDE w:val="0"/>
        <w:adjustRightInd w:val="0"/>
        <w:spacing w:line="360" w:lineRule="auto"/>
        <w:rPr>
          <w:sz w:val="20"/>
          <w:szCs w:val="20"/>
        </w:rPr>
      </w:pPr>
      <w:r w:rsidRPr="00B7554E">
        <w:rPr>
          <w:sz w:val="20"/>
          <w:szCs w:val="20"/>
        </w:rPr>
        <w:tab/>
      </w:r>
      <w:r w:rsidRPr="00B7554E">
        <w:rPr>
          <w:sz w:val="20"/>
          <w:szCs w:val="20"/>
        </w:rPr>
        <w:tab/>
      </w:r>
      <w:r w:rsidRPr="00B7554E">
        <w:rPr>
          <w:sz w:val="20"/>
          <w:szCs w:val="20"/>
        </w:rPr>
        <w:tab/>
      </w:r>
      <w:r w:rsidRPr="00B7554E">
        <w:rPr>
          <w:sz w:val="20"/>
          <w:szCs w:val="20"/>
        </w:rPr>
        <w:tab/>
      </w:r>
      <w:r w:rsidRPr="00B7554E">
        <w:rPr>
          <w:sz w:val="20"/>
          <w:szCs w:val="20"/>
        </w:rPr>
        <w:tab/>
      </w:r>
      <w:r w:rsidRPr="00B7554E">
        <w:rPr>
          <w:sz w:val="20"/>
          <w:szCs w:val="20"/>
        </w:rPr>
        <w:tab/>
        <w:t>Czytelny podpis Wnioskodawcy lub osoby upoważnionej</w:t>
      </w:r>
      <w:r w:rsidRPr="00B7554E">
        <w:rPr>
          <w:rStyle w:val="Odwoanieprzypisudolnego"/>
          <w:sz w:val="20"/>
          <w:szCs w:val="20"/>
        </w:rPr>
        <w:footnoteReference w:id="1"/>
      </w:r>
    </w:p>
    <w:p w:rsidR="006B0FF1" w:rsidRPr="00B7554E" w:rsidRDefault="006B0FF1" w:rsidP="006B0FF1"/>
    <w:p w:rsidR="001B7985" w:rsidRDefault="001B7985" w:rsidP="006B0FF1">
      <w:pPr>
        <w:rPr>
          <w:rFonts w:ascii="Arial" w:hAnsi="Arial" w:cs="Arial"/>
          <w:sz w:val="22"/>
          <w:szCs w:val="22"/>
        </w:rPr>
      </w:pPr>
    </w:p>
    <w:p w:rsidR="001B7985" w:rsidRPr="00B7554E" w:rsidRDefault="001B7985" w:rsidP="006B0FF1"/>
    <w:p w:rsidR="006B0FF1" w:rsidRPr="00B7554E" w:rsidRDefault="006B0FF1" w:rsidP="00B7554E">
      <w:pPr>
        <w:jc w:val="center"/>
        <w:rPr>
          <w:b/>
        </w:rPr>
      </w:pPr>
      <w:r w:rsidRPr="00B7554E">
        <w:rPr>
          <w:b/>
        </w:rPr>
        <w:lastRenderedPageBreak/>
        <w:t>Informacje niezbędne do napisania protest</w:t>
      </w:r>
      <w:r w:rsidR="00B7554E" w:rsidRPr="00B7554E">
        <w:rPr>
          <w:b/>
        </w:rPr>
        <w:t>u</w:t>
      </w:r>
    </w:p>
    <w:p w:rsidR="006B0FF1" w:rsidRPr="00B7554E" w:rsidRDefault="006B0FF1" w:rsidP="006B0FF1"/>
    <w:p w:rsidR="006B0FF1" w:rsidRPr="00B7554E" w:rsidRDefault="006B0FF1" w:rsidP="006B0FF1">
      <w:pPr>
        <w:spacing w:line="276" w:lineRule="auto"/>
      </w:pPr>
    </w:p>
    <w:p w:rsidR="006B0FF1" w:rsidRPr="00B7554E" w:rsidRDefault="006B0FF1" w:rsidP="006B0FF1">
      <w:pPr>
        <w:pStyle w:val="Akapitzlist"/>
        <w:numPr>
          <w:ilvl w:val="0"/>
          <w:numId w:val="49"/>
        </w:numPr>
        <w:suppressAutoHyphens w:val="0"/>
        <w:autoSpaceDN/>
        <w:spacing w:after="160" w:line="276" w:lineRule="auto"/>
        <w:jc w:val="both"/>
      </w:pPr>
      <w:r w:rsidRPr="00B7554E">
        <w:t>Zarzuty powinny dotyczyć tylko kryterium oceny lub procedury.</w:t>
      </w:r>
    </w:p>
    <w:p w:rsidR="006B0FF1" w:rsidRPr="00B7554E" w:rsidRDefault="006B0FF1" w:rsidP="006B0FF1">
      <w:pPr>
        <w:pStyle w:val="Akapitzlist"/>
        <w:numPr>
          <w:ilvl w:val="0"/>
          <w:numId w:val="49"/>
        </w:numPr>
        <w:suppressAutoHyphens w:val="0"/>
        <w:autoSpaceDN/>
        <w:spacing w:after="160" w:line="276" w:lineRule="auto"/>
        <w:jc w:val="both"/>
      </w:pPr>
      <w:r w:rsidRPr="00B7554E">
        <w:t>Argumenty wskazujące na spełnienie kryterium powinny być czytelne i zwięzłe. Należy używać argumentów odnoszących się do dokumentów np. instrukcji wypełniania wniosku, regulaminu konkursu czy wytycznych.</w:t>
      </w:r>
    </w:p>
    <w:p w:rsidR="006B0FF1" w:rsidRPr="00B7554E" w:rsidRDefault="006B0FF1" w:rsidP="006B0FF1">
      <w:pPr>
        <w:pStyle w:val="Akapitzlist"/>
        <w:numPr>
          <w:ilvl w:val="0"/>
          <w:numId w:val="49"/>
        </w:numPr>
        <w:suppressAutoHyphens w:val="0"/>
        <w:autoSpaceDN/>
        <w:spacing w:after="160" w:line="276" w:lineRule="auto"/>
        <w:jc w:val="both"/>
      </w:pPr>
      <w:r w:rsidRPr="00B7554E">
        <w:t xml:space="preserve">Należy wskazać w którym miejscu we wniosku zawarte są informacje świadczące </w:t>
      </w:r>
      <w:r w:rsidRPr="00B7554E">
        <w:br/>
        <w:t>o spełnieniu kryterium.</w:t>
      </w:r>
    </w:p>
    <w:p w:rsidR="006B0FF1" w:rsidRPr="00B7554E" w:rsidRDefault="006B0FF1" w:rsidP="006B0FF1">
      <w:pPr>
        <w:pStyle w:val="Akapitzlist"/>
        <w:numPr>
          <w:ilvl w:val="0"/>
          <w:numId w:val="49"/>
        </w:numPr>
        <w:suppressAutoHyphens w:val="0"/>
        <w:autoSpaceDN/>
        <w:spacing w:after="160" w:line="276" w:lineRule="auto"/>
        <w:jc w:val="both"/>
      </w:pPr>
      <w:r w:rsidRPr="00B7554E">
        <w:t>Należy odnosić się tylko do treści zawartych we wniosku. Środek odwoławczy nie służy uzupełnianiu wniosku, a ewentualne dodatkowe informacje zwarte w proteście nie będą miały wpływu na wynik jego rozpatrzenia.</w:t>
      </w:r>
    </w:p>
    <w:p w:rsidR="006B0FF1" w:rsidRPr="00B7554E" w:rsidRDefault="006B0FF1" w:rsidP="006B0FF1">
      <w:pPr>
        <w:pStyle w:val="Akapitzlist"/>
        <w:numPr>
          <w:ilvl w:val="0"/>
          <w:numId w:val="49"/>
        </w:numPr>
        <w:suppressAutoHyphens w:val="0"/>
        <w:autoSpaceDN/>
        <w:spacing w:after="160" w:line="276" w:lineRule="auto"/>
        <w:jc w:val="both"/>
      </w:pPr>
      <w:r w:rsidRPr="00B7554E">
        <w:t>Nie należy używać argumentów dotyczących np. osób oceniających, sposobu aplikowania czy przyczyn po stronie wnioskodawcy powodujących wystąpienie błędu. Takie zarzuty nie będą brane pod uwagę przy rozpatrywaniu protestu.</w:t>
      </w:r>
    </w:p>
    <w:p w:rsidR="006B0FF1" w:rsidRPr="00B7554E" w:rsidRDefault="006B0FF1" w:rsidP="006B0FF1">
      <w:pPr>
        <w:pStyle w:val="Akapitzlist"/>
        <w:numPr>
          <w:ilvl w:val="0"/>
          <w:numId w:val="49"/>
        </w:numPr>
        <w:suppressAutoHyphens w:val="0"/>
        <w:autoSpaceDN/>
        <w:spacing w:after="160" w:line="276" w:lineRule="auto"/>
        <w:jc w:val="both"/>
      </w:pPr>
      <w:r w:rsidRPr="00B7554E">
        <w:t>Nie należy używać argumentów dotyczących oceny innych wniosków. Porównanie wniosku z innymi projektami nie świadczy o spełnieniu kryterium.</w:t>
      </w:r>
    </w:p>
    <w:p w:rsidR="006B0FF1" w:rsidRPr="00B7554E" w:rsidRDefault="006B0FF1" w:rsidP="006B0FF1">
      <w:pPr>
        <w:pStyle w:val="Akapitzlist"/>
        <w:numPr>
          <w:ilvl w:val="0"/>
          <w:numId w:val="49"/>
        </w:numPr>
        <w:suppressAutoHyphens w:val="0"/>
        <w:autoSpaceDN/>
        <w:spacing w:after="160" w:line="276" w:lineRule="auto"/>
        <w:jc w:val="both"/>
      </w:pPr>
      <w:r w:rsidRPr="00B7554E">
        <w:t xml:space="preserve">Należy załączyć dokument potwierdzający umocowanie osoby podpisującej protest. </w:t>
      </w:r>
      <w:bookmarkStart w:id="0" w:name="_GoBack"/>
      <w:bookmarkEnd w:id="0"/>
      <w:r w:rsidRPr="00B7554E">
        <w:t>W sytuacji gdy decydent (np. burmistrz, wójt, prezes, dyrektor) daje upoważnienie należy załączy również dokument potwierdzający umocowanie decydenta.</w:t>
      </w:r>
    </w:p>
    <w:p w:rsidR="006B0FF1" w:rsidRDefault="006B0FF1" w:rsidP="006B0FF1"/>
    <w:p w:rsidR="000253B8" w:rsidRPr="000253B8" w:rsidRDefault="000253B8">
      <w:pPr>
        <w:spacing w:line="276" w:lineRule="auto"/>
      </w:pPr>
    </w:p>
    <w:sectPr w:rsidR="000253B8" w:rsidRPr="000253B8" w:rsidSect="000253B8">
      <w:footerReference w:type="default" r:id="rId11"/>
      <w:pgSz w:w="11907" w:h="16839" w:code="9"/>
      <w:pgMar w:top="624" w:right="1418" w:bottom="1418" w:left="1418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54E" w:rsidRDefault="00B7554E" w:rsidP="00F97843">
      <w:r>
        <w:separator/>
      </w:r>
    </w:p>
  </w:endnote>
  <w:endnote w:type="continuationSeparator" w:id="0">
    <w:p w:rsidR="00B7554E" w:rsidRDefault="00B7554E" w:rsidP="00F9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20737"/>
      <w:docPartObj>
        <w:docPartGallery w:val="Page Numbers (Bottom of Page)"/>
        <w:docPartUnique/>
      </w:docPartObj>
    </w:sdtPr>
    <w:sdtContent>
      <w:p w:rsidR="00B7554E" w:rsidRDefault="00A32B21">
        <w:pPr>
          <w:pStyle w:val="Stopka"/>
          <w:jc w:val="center"/>
        </w:pPr>
        <w:fldSimple w:instr=" PAGE   \* MERGEFORMAT ">
          <w:r w:rsidR="00B30038">
            <w:rPr>
              <w:noProof/>
            </w:rPr>
            <w:t>10</w:t>
          </w:r>
        </w:fldSimple>
      </w:p>
    </w:sdtContent>
  </w:sdt>
  <w:p w:rsidR="00B7554E" w:rsidRDefault="00B755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54E" w:rsidRDefault="00B7554E" w:rsidP="00F97843">
      <w:r>
        <w:separator/>
      </w:r>
    </w:p>
  </w:footnote>
  <w:footnote w:type="continuationSeparator" w:id="0">
    <w:p w:rsidR="00B7554E" w:rsidRDefault="00B7554E" w:rsidP="00F97843">
      <w:r>
        <w:continuationSeparator/>
      </w:r>
    </w:p>
  </w:footnote>
  <w:footnote w:id="1">
    <w:p w:rsidR="00B7554E" w:rsidRPr="00B7554E" w:rsidRDefault="00B7554E" w:rsidP="006B0FF1">
      <w:pPr>
        <w:pStyle w:val="Tekstprzypisudolnego"/>
        <w:rPr>
          <w:rFonts w:ascii="Times New Roman" w:hAnsi="Times New Roman"/>
          <w:sz w:val="16"/>
          <w:szCs w:val="16"/>
        </w:rPr>
      </w:pPr>
      <w:r w:rsidRPr="00B755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B7554E">
        <w:rPr>
          <w:rFonts w:ascii="Times New Roman" w:hAnsi="Times New Roman"/>
          <w:sz w:val="16"/>
          <w:szCs w:val="16"/>
        </w:rPr>
        <w:t xml:space="preserve"> Należy dołączyć dokument poświadczający umocowanie t</w:t>
      </w:r>
      <w:r w:rsidR="00591CDE">
        <w:rPr>
          <w:rFonts w:ascii="Times New Roman" w:hAnsi="Times New Roman"/>
          <w:sz w:val="16"/>
          <w:szCs w:val="16"/>
        </w:rPr>
        <w:t>akiej osoby do reprezentowania W</w:t>
      </w:r>
      <w:r w:rsidRPr="00B7554E">
        <w:rPr>
          <w:rFonts w:ascii="Times New Roman" w:hAnsi="Times New Roman"/>
          <w:sz w:val="16"/>
          <w:szCs w:val="16"/>
        </w:rPr>
        <w:t>nioskodawcy.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E5823F"/>
    <w:multiLevelType w:val="hybridMultilevel"/>
    <w:tmpl w:val="B087CC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2BA709"/>
    <w:multiLevelType w:val="hybridMultilevel"/>
    <w:tmpl w:val="054598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DAC7898"/>
    <w:multiLevelType w:val="hybridMultilevel"/>
    <w:tmpl w:val="9D23EE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6AEAC1D"/>
    <w:multiLevelType w:val="hybridMultilevel"/>
    <w:tmpl w:val="AA9D3F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3856AA3"/>
    <w:multiLevelType w:val="hybridMultilevel"/>
    <w:tmpl w:val="48E055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4527FB9"/>
    <w:multiLevelType w:val="hybridMultilevel"/>
    <w:tmpl w:val="5B1038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8C3A0E2"/>
    <w:multiLevelType w:val="hybridMultilevel"/>
    <w:tmpl w:val="711419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0ED5C5F"/>
    <w:multiLevelType w:val="hybridMultilevel"/>
    <w:tmpl w:val="647F42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2CC4965"/>
    <w:multiLevelType w:val="hybridMultilevel"/>
    <w:tmpl w:val="E97FD5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FEB33DA"/>
    <w:multiLevelType w:val="hybridMultilevel"/>
    <w:tmpl w:val="8871BC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1775EC2"/>
    <w:multiLevelType w:val="hybridMultilevel"/>
    <w:tmpl w:val="29E0F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38706BF"/>
    <w:multiLevelType w:val="hybridMultilevel"/>
    <w:tmpl w:val="62326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32661"/>
    <w:multiLevelType w:val="hybridMultilevel"/>
    <w:tmpl w:val="5B82DC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4914EE1"/>
    <w:multiLevelType w:val="hybridMultilevel"/>
    <w:tmpl w:val="B15EE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308AC3"/>
    <w:multiLevelType w:val="hybridMultilevel"/>
    <w:tmpl w:val="D9F529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61B5919"/>
    <w:multiLevelType w:val="hybridMultilevel"/>
    <w:tmpl w:val="93DE3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DB1CBF"/>
    <w:multiLevelType w:val="hybridMultilevel"/>
    <w:tmpl w:val="D1DEF0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2225E4F"/>
    <w:multiLevelType w:val="hybridMultilevel"/>
    <w:tmpl w:val="88521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363E8"/>
    <w:multiLevelType w:val="hybridMultilevel"/>
    <w:tmpl w:val="570A7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70F3D96"/>
    <w:multiLevelType w:val="hybridMultilevel"/>
    <w:tmpl w:val="E402A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E8E7119"/>
    <w:multiLevelType w:val="hybridMultilevel"/>
    <w:tmpl w:val="7A34BE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74CCF55"/>
    <w:multiLevelType w:val="hybridMultilevel"/>
    <w:tmpl w:val="848563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2B4CDEEE"/>
    <w:multiLevelType w:val="hybridMultilevel"/>
    <w:tmpl w:val="7BB471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2DBC3E99"/>
    <w:multiLevelType w:val="hybridMultilevel"/>
    <w:tmpl w:val="670A5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31679F"/>
    <w:multiLevelType w:val="hybridMultilevel"/>
    <w:tmpl w:val="12442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9ABBDD"/>
    <w:multiLevelType w:val="hybridMultilevel"/>
    <w:tmpl w:val="2891E1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7646829"/>
    <w:multiLevelType w:val="hybridMultilevel"/>
    <w:tmpl w:val="B492A8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A8C5E1A"/>
    <w:multiLevelType w:val="hybridMultilevel"/>
    <w:tmpl w:val="C3B0F030"/>
    <w:lvl w:ilvl="0" w:tplc="D4D8FFDE">
      <w:start w:val="1"/>
      <w:numFmt w:val="bullet"/>
      <w:lvlText w:val="-"/>
      <w:lvlJc w:val="left"/>
      <w:pPr>
        <w:ind w:left="1068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AAE2D9C"/>
    <w:multiLevelType w:val="multilevel"/>
    <w:tmpl w:val="9524F3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FB505A"/>
    <w:multiLevelType w:val="hybridMultilevel"/>
    <w:tmpl w:val="8CE80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786A56"/>
    <w:multiLevelType w:val="hybridMultilevel"/>
    <w:tmpl w:val="BC5AF3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4F1A6234"/>
    <w:multiLevelType w:val="hybridMultilevel"/>
    <w:tmpl w:val="4078B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A70C86"/>
    <w:multiLevelType w:val="hybridMultilevel"/>
    <w:tmpl w:val="2988B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A27D0"/>
    <w:multiLevelType w:val="hybridMultilevel"/>
    <w:tmpl w:val="60CCEEDA"/>
    <w:lvl w:ilvl="0" w:tplc="1CBC9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7AFF938"/>
    <w:multiLevelType w:val="hybridMultilevel"/>
    <w:tmpl w:val="CEC202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5F6F74E0"/>
    <w:multiLevelType w:val="hybridMultilevel"/>
    <w:tmpl w:val="B59E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0805911"/>
    <w:multiLevelType w:val="hybridMultilevel"/>
    <w:tmpl w:val="77489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B829EF"/>
    <w:multiLevelType w:val="hybridMultilevel"/>
    <w:tmpl w:val="C0B2E7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900B18"/>
    <w:multiLevelType w:val="hybridMultilevel"/>
    <w:tmpl w:val="8747D1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640B3E0C"/>
    <w:multiLevelType w:val="hybridMultilevel"/>
    <w:tmpl w:val="4B44E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757312"/>
    <w:multiLevelType w:val="hybridMultilevel"/>
    <w:tmpl w:val="880CA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182394"/>
    <w:multiLevelType w:val="hybridMultilevel"/>
    <w:tmpl w:val="0FD02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E0130E"/>
    <w:multiLevelType w:val="hybridMultilevel"/>
    <w:tmpl w:val="ECEEF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4A0059"/>
    <w:multiLevelType w:val="hybridMultilevel"/>
    <w:tmpl w:val="EE98C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B10F2"/>
    <w:multiLevelType w:val="hybridMultilevel"/>
    <w:tmpl w:val="98A8F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A13B23"/>
    <w:multiLevelType w:val="hybridMultilevel"/>
    <w:tmpl w:val="C73E3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B91405"/>
    <w:multiLevelType w:val="hybridMultilevel"/>
    <w:tmpl w:val="F3F8FCDA"/>
    <w:lvl w:ilvl="0" w:tplc="B5FE7E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281E67"/>
    <w:multiLevelType w:val="hybridMultilevel"/>
    <w:tmpl w:val="1A78B2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E96F86"/>
    <w:multiLevelType w:val="hybridMultilevel"/>
    <w:tmpl w:val="7456A7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5"/>
  </w:num>
  <w:num w:numId="3">
    <w:abstractNumId w:val="26"/>
  </w:num>
  <w:num w:numId="4">
    <w:abstractNumId w:val="34"/>
  </w:num>
  <w:num w:numId="5">
    <w:abstractNumId w:val="22"/>
  </w:num>
  <w:num w:numId="6">
    <w:abstractNumId w:val="8"/>
  </w:num>
  <w:num w:numId="7">
    <w:abstractNumId w:val="14"/>
  </w:num>
  <w:num w:numId="8">
    <w:abstractNumId w:val="30"/>
  </w:num>
  <w:num w:numId="9">
    <w:abstractNumId w:val="7"/>
  </w:num>
  <w:num w:numId="10">
    <w:abstractNumId w:val="0"/>
  </w:num>
  <w:num w:numId="11">
    <w:abstractNumId w:val="5"/>
  </w:num>
  <w:num w:numId="12">
    <w:abstractNumId w:val="4"/>
  </w:num>
  <w:num w:numId="13">
    <w:abstractNumId w:val="2"/>
  </w:num>
  <w:num w:numId="14">
    <w:abstractNumId w:val="38"/>
  </w:num>
  <w:num w:numId="15">
    <w:abstractNumId w:val="12"/>
  </w:num>
  <w:num w:numId="16">
    <w:abstractNumId w:val="1"/>
  </w:num>
  <w:num w:numId="17">
    <w:abstractNumId w:val="9"/>
  </w:num>
  <w:num w:numId="18">
    <w:abstractNumId w:val="21"/>
  </w:num>
  <w:num w:numId="19">
    <w:abstractNumId w:val="3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6"/>
  </w:num>
  <w:num w:numId="23">
    <w:abstractNumId w:val="10"/>
  </w:num>
  <w:num w:numId="24">
    <w:abstractNumId w:val="23"/>
  </w:num>
  <w:num w:numId="25">
    <w:abstractNumId w:val="39"/>
  </w:num>
  <w:num w:numId="26">
    <w:abstractNumId w:val="11"/>
  </w:num>
  <w:num w:numId="27">
    <w:abstractNumId w:val="45"/>
  </w:num>
  <w:num w:numId="28">
    <w:abstractNumId w:val="32"/>
  </w:num>
  <w:num w:numId="29">
    <w:abstractNumId w:val="19"/>
  </w:num>
  <w:num w:numId="30">
    <w:abstractNumId w:val="35"/>
  </w:num>
  <w:num w:numId="31">
    <w:abstractNumId w:val="43"/>
  </w:num>
  <w:num w:numId="32">
    <w:abstractNumId w:val="46"/>
  </w:num>
  <w:num w:numId="33">
    <w:abstractNumId w:val="41"/>
  </w:num>
  <w:num w:numId="34">
    <w:abstractNumId w:val="15"/>
  </w:num>
  <w:num w:numId="35">
    <w:abstractNumId w:val="31"/>
  </w:num>
  <w:num w:numId="36">
    <w:abstractNumId w:val="24"/>
  </w:num>
  <w:num w:numId="37">
    <w:abstractNumId w:val="48"/>
  </w:num>
  <w:num w:numId="38">
    <w:abstractNumId w:val="40"/>
  </w:num>
  <w:num w:numId="39">
    <w:abstractNumId w:val="13"/>
  </w:num>
  <w:num w:numId="40">
    <w:abstractNumId w:val="44"/>
  </w:num>
  <w:num w:numId="41">
    <w:abstractNumId w:val="42"/>
  </w:num>
  <w:num w:numId="42">
    <w:abstractNumId w:val="37"/>
  </w:num>
  <w:num w:numId="43">
    <w:abstractNumId w:val="17"/>
  </w:num>
  <w:num w:numId="44">
    <w:abstractNumId w:val="16"/>
  </w:num>
  <w:num w:numId="45">
    <w:abstractNumId w:val="18"/>
  </w:num>
  <w:num w:numId="46">
    <w:abstractNumId w:val="47"/>
  </w:num>
  <w:num w:numId="47">
    <w:abstractNumId w:val="27"/>
  </w:num>
  <w:num w:numId="48">
    <w:abstractNumId w:val="33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83E"/>
    <w:rsid w:val="00010D20"/>
    <w:rsid w:val="0001699A"/>
    <w:rsid w:val="000253B8"/>
    <w:rsid w:val="000806B8"/>
    <w:rsid w:val="000B1FA1"/>
    <w:rsid w:val="000F3A01"/>
    <w:rsid w:val="000F74D3"/>
    <w:rsid w:val="00117F00"/>
    <w:rsid w:val="00155CFE"/>
    <w:rsid w:val="00175093"/>
    <w:rsid w:val="00176002"/>
    <w:rsid w:val="00194649"/>
    <w:rsid w:val="001B02C7"/>
    <w:rsid w:val="001B7985"/>
    <w:rsid w:val="001C1181"/>
    <w:rsid w:val="001D283E"/>
    <w:rsid w:val="002220AC"/>
    <w:rsid w:val="0022599C"/>
    <w:rsid w:val="002551B6"/>
    <w:rsid w:val="002A4100"/>
    <w:rsid w:val="002A63E1"/>
    <w:rsid w:val="002B018D"/>
    <w:rsid w:val="002B66E9"/>
    <w:rsid w:val="002F592C"/>
    <w:rsid w:val="003015E5"/>
    <w:rsid w:val="00330F90"/>
    <w:rsid w:val="00344C27"/>
    <w:rsid w:val="00371088"/>
    <w:rsid w:val="00380020"/>
    <w:rsid w:val="003C5A7B"/>
    <w:rsid w:val="003E7FB2"/>
    <w:rsid w:val="004021FE"/>
    <w:rsid w:val="004105E1"/>
    <w:rsid w:val="00415075"/>
    <w:rsid w:val="004313AA"/>
    <w:rsid w:val="004402E2"/>
    <w:rsid w:val="004738C5"/>
    <w:rsid w:val="0049264B"/>
    <w:rsid w:val="00492D31"/>
    <w:rsid w:val="004A690D"/>
    <w:rsid w:val="004B48D8"/>
    <w:rsid w:val="004B72B5"/>
    <w:rsid w:val="00554D54"/>
    <w:rsid w:val="00591CDE"/>
    <w:rsid w:val="005D0C1C"/>
    <w:rsid w:val="006008F5"/>
    <w:rsid w:val="006122F2"/>
    <w:rsid w:val="00613F64"/>
    <w:rsid w:val="00657AA6"/>
    <w:rsid w:val="00664BDA"/>
    <w:rsid w:val="00677AB8"/>
    <w:rsid w:val="006B0FF1"/>
    <w:rsid w:val="006C09C8"/>
    <w:rsid w:val="006C681E"/>
    <w:rsid w:val="007467BB"/>
    <w:rsid w:val="0075675A"/>
    <w:rsid w:val="00763633"/>
    <w:rsid w:val="00776812"/>
    <w:rsid w:val="00790F92"/>
    <w:rsid w:val="007B5B38"/>
    <w:rsid w:val="00825D19"/>
    <w:rsid w:val="00865D1F"/>
    <w:rsid w:val="008721D1"/>
    <w:rsid w:val="008A08AB"/>
    <w:rsid w:val="008C1195"/>
    <w:rsid w:val="008D2AA4"/>
    <w:rsid w:val="008F1501"/>
    <w:rsid w:val="00905E8D"/>
    <w:rsid w:val="00922A98"/>
    <w:rsid w:val="00941C24"/>
    <w:rsid w:val="00945D1F"/>
    <w:rsid w:val="00962D9B"/>
    <w:rsid w:val="0097393B"/>
    <w:rsid w:val="009B1D12"/>
    <w:rsid w:val="009B5A86"/>
    <w:rsid w:val="009C73FC"/>
    <w:rsid w:val="00A1006D"/>
    <w:rsid w:val="00A32B21"/>
    <w:rsid w:val="00A357F2"/>
    <w:rsid w:val="00A51C0C"/>
    <w:rsid w:val="00AC4A53"/>
    <w:rsid w:val="00AD483E"/>
    <w:rsid w:val="00AE180A"/>
    <w:rsid w:val="00AE1EB8"/>
    <w:rsid w:val="00AE341F"/>
    <w:rsid w:val="00AF51F0"/>
    <w:rsid w:val="00AF6068"/>
    <w:rsid w:val="00B15954"/>
    <w:rsid w:val="00B30038"/>
    <w:rsid w:val="00B3311E"/>
    <w:rsid w:val="00B446D7"/>
    <w:rsid w:val="00B47AFE"/>
    <w:rsid w:val="00B7554E"/>
    <w:rsid w:val="00BA1A7D"/>
    <w:rsid w:val="00BF3831"/>
    <w:rsid w:val="00C11B7E"/>
    <w:rsid w:val="00C223AA"/>
    <w:rsid w:val="00C52DA7"/>
    <w:rsid w:val="00C70FDF"/>
    <w:rsid w:val="00C948F1"/>
    <w:rsid w:val="00D15DD7"/>
    <w:rsid w:val="00D30625"/>
    <w:rsid w:val="00D55E8F"/>
    <w:rsid w:val="00DB04CD"/>
    <w:rsid w:val="00E5792D"/>
    <w:rsid w:val="00E67FEF"/>
    <w:rsid w:val="00EB3066"/>
    <w:rsid w:val="00ED3D08"/>
    <w:rsid w:val="00ED5160"/>
    <w:rsid w:val="00ED56F0"/>
    <w:rsid w:val="00EE6B9D"/>
    <w:rsid w:val="00F37B28"/>
    <w:rsid w:val="00F83DF7"/>
    <w:rsid w:val="00F97843"/>
    <w:rsid w:val="00FB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A7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2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1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1F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78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78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5DD7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6B0FF1"/>
    <w:pPr>
      <w:suppressAutoHyphens w:val="0"/>
      <w:autoSpaceDN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6B0FF1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nhideWhenUsed/>
    <w:rsid w:val="006B0F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9D58-90D7-4A05-94FA-12095396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2956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Żelechowska</dc:creator>
  <cp:lastModifiedBy>monsze</cp:lastModifiedBy>
  <cp:revision>6</cp:revision>
  <cp:lastPrinted>2015-10-16T08:48:00Z</cp:lastPrinted>
  <dcterms:created xsi:type="dcterms:W3CDTF">2017-07-28T08:05:00Z</dcterms:created>
  <dcterms:modified xsi:type="dcterms:W3CDTF">2017-07-28T11:42:00Z</dcterms:modified>
</cp:coreProperties>
</file>