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30A" w:rsidRPr="00EE3BA2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r w:rsidRPr="00EE3BA2">
        <w:rPr>
          <w:rFonts w:asciiTheme="minorHAnsi" w:hAnsiTheme="minorHAnsi"/>
          <w:b/>
          <w:sz w:val="22"/>
          <w:szCs w:val="22"/>
        </w:rPr>
        <w:t xml:space="preserve">Załącznik nr </w:t>
      </w:r>
      <w:r w:rsidR="00467C5C">
        <w:rPr>
          <w:rFonts w:asciiTheme="minorHAnsi" w:hAnsiTheme="minorHAnsi"/>
          <w:b/>
          <w:sz w:val="22"/>
          <w:szCs w:val="22"/>
        </w:rPr>
        <w:t>VI</w:t>
      </w:r>
      <w:bookmarkStart w:id="0" w:name="_GoBack"/>
      <w:bookmarkEnd w:id="0"/>
      <w:r w:rsidRPr="00EE3BA2">
        <w:rPr>
          <w:rFonts w:asciiTheme="minorHAnsi" w:hAnsiTheme="minorHAnsi"/>
          <w:b/>
          <w:sz w:val="22"/>
          <w:szCs w:val="22"/>
        </w:rPr>
        <w:t xml:space="preserve"> –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81520D">
        <w:rPr>
          <w:rFonts w:ascii="Tahoma" w:eastAsia="Tahoma" w:hAnsi="Tahoma" w:cs="Tahoma"/>
        </w:rPr>
        <w:t>ansowej 2014-2020 (Dz. U. z 2017 r. poz. 1140</w:t>
      </w:r>
      <w:r>
        <w:rPr>
          <w:rFonts w:ascii="Tahoma" w:eastAsia="Tahoma" w:hAnsi="Tahoma" w:cs="Tahoma"/>
        </w:rPr>
        <w:t xml:space="preserve">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Pr="00F00B8D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 xml:space="preserve">ówień </w:t>
      </w:r>
      <w:r w:rsidR="00AD2F98" w:rsidRPr="00F00B8D">
        <w:rPr>
          <w:rFonts w:ascii="Tahoma" w:eastAsia="Tahoma" w:hAnsi="Tahoma" w:cs="Tahoma"/>
        </w:rPr>
        <w:t>publicznych (Dz. U. z 2017 r. poz. 1579</w:t>
      </w:r>
      <w:r w:rsidRPr="00F00B8D">
        <w:rPr>
          <w:rFonts w:ascii="Tahoma" w:eastAsia="Tahoma" w:hAnsi="Tahoma" w:cs="Tahoma"/>
        </w:rPr>
        <w:t>, z późn. zm.)</w:t>
      </w:r>
      <w:r w:rsidRPr="00F00B8D">
        <w:rPr>
          <w:rStyle w:val="Odwoanieprzypisudolnego"/>
          <w:rFonts w:ascii="Tahoma" w:eastAsia="Tahoma" w:hAnsi="Tahoma" w:cs="Tahoma"/>
        </w:rPr>
        <w:footnoteReference w:id="4"/>
      </w:r>
      <w:r w:rsidR="00E71F7B" w:rsidRPr="00F00B8D">
        <w:rPr>
          <w:rFonts w:ascii="Tahoma" w:eastAsia="Tahoma" w:hAnsi="Tahoma" w:cs="Tahoma"/>
        </w:rPr>
        <w:t>;</w:t>
      </w:r>
    </w:p>
    <w:p w:rsidR="00E71F7B" w:rsidRPr="00F00B8D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 w:rsidRPr="00F00B8D">
        <w:rPr>
          <w:rFonts w:ascii="Tahoma" w:eastAsia="Tahoma" w:hAnsi="Tahoma" w:cs="Tahoma"/>
        </w:rPr>
        <w:t>wypełnianie obowiązków wynikających z umowy o dofinansowanie projektu.</w:t>
      </w:r>
    </w:p>
    <w:p w:rsidR="00743DC6" w:rsidRPr="00F00B8D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 w:rsidRPr="00F00B8D"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Pr="00F00B8D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 w:rsidRPr="00F00B8D">
        <w:rPr>
          <w:rFonts w:ascii="Tahoma" w:eastAsia="Tahoma" w:hAnsi="Tahoma" w:cs="Tahoma"/>
        </w:rPr>
        <w:t xml:space="preserve">Partner wiodący nie może bez uzyskania uprzedniej zgody Partnerów, akceptować </w:t>
      </w:r>
      <w:r w:rsidRPr="00F00B8D"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 w:rsidRPr="00F00B8D">
        <w:rPr>
          <w:rFonts w:ascii="Tahoma" w:eastAsia="Tahoma" w:hAnsi="Tahoma" w:cs="Tahoma"/>
        </w:rPr>
        <w:br/>
      </w:r>
      <w:r w:rsidRPr="00F00B8D">
        <w:rPr>
          <w:rFonts w:ascii="Tahoma" w:eastAsia="Tahoma" w:hAnsi="Tahoma" w:cs="Tahoma"/>
        </w:rPr>
        <w:t>nie postanowią inaczej.</w:t>
      </w:r>
    </w:p>
    <w:p w:rsidR="00743DC6" w:rsidRPr="00F00B8D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 w:rsidRPr="00F00B8D"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 w:rsidRPr="00F00B8D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</w:t>
      </w:r>
      <w:r w:rsidR="00F00B8D" w:rsidRPr="00F00B8D">
        <w:rPr>
          <w:rFonts w:ascii="Tahoma" w:eastAsia="Tahoma" w:hAnsi="Tahoma" w:cs="Tahoma"/>
        </w:rPr>
        <w:t>17</w:t>
      </w:r>
      <w:r w:rsidR="002044E6" w:rsidRPr="00F00B8D">
        <w:rPr>
          <w:rFonts w:ascii="Tahoma" w:eastAsia="Tahoma" w:hAnsi="Tahoma" w:cs="Tahoma"/>
        </w:rPr>
        <w:t xml:space="preserve"> r. </w:t>
      </w:r>
      <w:r w:rsidR="00F00B8D" w:rsidRPr="00F00B8D">
        <w:rPr>
          <w:rFonts w:ascii="Tahoma" w:eastAsia="Tahoma" w:hAnsi="Tahoma" w:cs="Tahoma"/>
        </w:rPr>
        <w:t>poz. 880 z późn. zm.</w:t>
      </w:r>
      <w:r w:rsidR="002044E6" w:rsidRPr="00F00B8D">
        <w:rPr>
          <w:rFonts w:ascii="Tahoma" w:eastAsia="Tahoma" w:hAnsi="Tahoma" w:cs="Tahoma"/>
        </w:rPr>
        <w:t>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informacji o wszystkich uczestnikach zadania/zadań realizowanego/</w:t>
      </w:r>
      <w:proofErr w:type="spellStart"/>
      <w:r>
        <w:rPr>
          <w:rFonts w:ascii="Tahoma" w:hAnsi="Tahoma" w:cs="Tahoma"/>
        </w:rPr>
        <w:t>nych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 xml:space="preserve">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 xml:space="preserve">.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>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586C3F" w:rsidRDefault="004B4CEA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1520D0">
        <w:rPr>
          <w:rFonts w:ascii="Tahoma" w:hAnsi="Tahoma" w:cs="Tahoma"/>
        </w:rPr>
        <w:t xml:space="preserve">Przy przetwarzaniu danych osobowych uczestników projektu </w:t>
      </w:r>
      <w:r w:rsidR="001520D0">
        <w:rPr>
          <w:rFonts w:ascii="Tahoma" w:hAnsi="Tahoma" w:cs="Tahoma"/>
        </w:rPr>
        <w:t xml:space="preserve">Partner wiodący </w:t>
      </w:r>
      <w:r w:rsidR="00F84211" w:rsidRPr="001520D0">
        <w:rPr>
          <w:rFonts w:ascii="Tahoma" w:hAnsi="Tahoma" w:cs="Tahoma"/>
        </w:rPr>
        <w:t xml:space="preserve">i </w:t>
      </w:r>
      <w:r w:rsidR="0078372A" w:rsidRPr="001520D0">
        <w:rPr>
          <w:rFonts w:ascii="Tahoma" w:hAnsi="Tahoma" w:cs="Tahoma"/>
        </w:rPr>
        <w:t>Partnerzy</w:t>
      </w:r>
      <w:r w:rsidR="0078372A" w:rsidRPr="00F84211">
        <w:rPr>
          <w:rFonts w:ascii="Tahoma" w:hAnsi="Tahoma" w:cs="Tahoma"/>
        </w:rPr>
        <w:t xml:space="preserve"> </w:t>
      </w:r>
      <w:r w:rsidRPr="00F84211">
        <w:rPr>
          <w:rFonts w:ascii="Tahoma" w:hAnsi="Tahoma" w:cs="Tahoma"/>
        </w:rPr>
        <w:t xml:space="preserve">przestrzegają zasad wskazanych w </w:t>
      </w:r>
      <w:r w:rsidR="0032007C" w:rsidRPr="00F84211">
        <w:rPr>
          <w:rFonts w:ascii="Tahoma" w:hAnsi="Tahoma" w:cs="Tahoma"/>
        </w:rPr>
        <w:t>Rozporządzeniu Parlamentu Europejskiego i Rady (EU) 2016/67</w:t>
      </w:r>
      <w:r w:rsidR="00F84211">
        <w:rPr>
          <w:rFonts w:ascii="Tahoma" w:hAnsi="Tahoma" w:cs="Tahoma"/>
        </w:rPr>
        <w:t xml:space="preserve">9 z dnia 27 kwietnia 2016 roku </w:t>
      </w:r>
      <w:r w:rsidR="0032007C" w:rsidRPr="00F84211">
        <w:rPr>
          <w:rFonts w:ascii="Tahoma" w:hAnsi="Tahoma" w:cs="Tahoma"/>
        </w:rPr>
        <w:t xml:space="preserve">w sprawie ochrony osób fizycznych w związku </w:t>
      </w:r>
      <w:r w:rsidR="00F00B8D">
        <w:rPr>
          <w:rFonts w:ascii="Tahoma" w:hAnsi="Tahoma" w:cs="Tahoma"/>
        </w:rPr>
        <w:br/>
      </w:r>
      <w:r w:rsidR="0032007C" w:rsidRPr="00F84211">
        <w:rPr>
          <w:rFonts w:ascii="Tahoma" w:hAnsi="Tahoma" w:cs="Tahoma"/>
        </w:rPr>
        <w:t xml:space="preserve">z przetwarzaniem danych osobowych i w sprawie swobodnego przepływu takich danych </w:t>
      </w:r>
      <w:r w:rsidR="000C7C65" w:rsidRPr="00F84211">
        <w:rPr>
          <w:rFonts w:ascii="Tahoma" w:hAnsi="Tahoma" w:cs="Tahoma"/>
        </w:rPr>
        <w:t>oraz</w:t>
      </w:r>
      <w:r w:rsidR="0024095A" w:rsidRPr="00F84211">
        <w:rPr>
          <w:rFonts w:ascii="Tahoma" w:hAnsi="Tahoma" w:cs="Tahoma"/>
        </w:rPr>
        <w:t xml:space="preserve"> uchylenia dyrektywy 95/46/WE</w:t>
      </w:r>
      <w:r w:rsidR="00E01AB3">
        <w:rPr>
          <w:rFonts w:ascii="Tahoma" w:hAnsi="Tahoma" w:cs="Tahoma"/>
        </w:rPr>
        <w:t xml:space="preserve"> dalej RODO</w:t>
      </w:r>
      <w:r w:rsidR="0024095A" w:rsidRPr="00F84211">
        <w:rPr>
          <w:rFonts w:ascii="Tahoma" w:hAnsi="Tahoma" w:cs="Tahoma"/>
        </w:rPr>
        <w:t xml:space="preserve"> oraz ustawą z dnia 10 maja 2018 roku o ochronie danych osobowych (Dz. U. 2018 poz. 1000).</w:t>
      </w:r>
    </w:p>
    <w:p w:rsidR="00F84211" w:rsidRDefault="00F84211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Administratorem danych osobowych jest Zarząd Województwa Świętokrzyskiego pełniący rolę Instytucji Zarządzającej dla Regionalnego Programu Operacyjnego na lata 2014 – 2020</w:t>
      </w:r>
      <w:r w:rsidR="00EB76BC">
        <w:rPr>
          <w:rFonts w:ascii="Tahoma" w:hAnsi="Tahoma" w:cs="Tahoma"/>
        </w:rPr>
        <w:t xml:space="preserve"> dalej IZ RPOWŚ</w:t>
      </w:r>
      <w:r>
        <w:rPr>
          <w:rFonts w:ascii="Tahoma" w:hAnsi="Tahoma" w:cs="Tahoma"/>
        </w:rPr>
        <w:t>, mający siedzibę przy Al. IX Wieków Kielc 3, 25-516 Kielce.</w:t>
      </w:r>
    </w:p>
    <w:p w:rsidR="00EB76BC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</w:t>
      </w:r>
      <w:r w:rsidR="00EB76BC">
        <w:rPr>
          <w:rFonts w:ascii="Tahoma" w:hAnsi="Tahoma" w:cs="Tahoma"/>
        </w:rPr>
        <w:t>powierza partner</w:t>
      </w:r>
      <w:r>
        <w:rPr>
          <w:rFonts w:ascii="Tahoma" w:hAnsi="Tahoma" w:cs="Tahoma"/>
        </w:rPr>
        <w:t>owi/</w:t>
      </w:r>
      <w:r w:rsidR="00EB76BC">
        <w:rPr>
          <w:rFonts w:ascii="Tahoma" w:hAnsi="Tahoma" w:cs="Tahoma"/>
        </w:rPr>
        <w:t>om przetwarzanie danych osobowych</w:t>
      </w:r>
      <w:r>
        <w:rPr>
          <w:rFonts w:ascii="Tahoma" w:hAnsi="Tahoma" w:cs="Tahoma"/>
        </w:rPr>
        <w:t xml:space="preserve"> uczestników projektu</w:t>
      </w:r>
      <w:r w:rsidR="00EB76B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EB76BC">
        <w:rPr>
          <w:rFonts w:ascii="Tahoma" w:hAnsi="Tahoma" w:cs="Tahoma"/>
        </w:rPr>
        <w:t xml:space="preserve">w imieniu i na rzecz IZ RPOWŚ. </w:t>
      </w:r>
    </w:p>
    <w:p w:rsidR="00F84211" w:rsidRPr="00D61EBD" w:rsidRDefault="000E2C26" w:rsidP="0025165B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powierza przetwarzanie</w:t>
      </w:r>
      <w:r w:rsidR="00EB76BC" w:rsidRPr="00D61EBD">
        <w:rPr>
          <w:rFonts w:ascii="Tahoma" w:hAnsi="Tahoma" w:cs="Tahoma"/>
        </w:rPr>
        <w:t xml:space="preserve"> danych</w:t>
      </w:r>
      <w:r w:rsidR="00802B29">
        <w:rPr>
          <w:rFonts w:ascii="Tahoma" w:hAnsi="Tahoma" w:cs="Tahoma"/>
        </w:rPr>
        <w:t xml:space="preserve"> </w:t>
      </w:r>
      <w:r w:rsidR="00802B29" w:rsidRPr="001520D0">
        <w:rPr>
          <w:rFonts w:ascii="Tahoma" w:hAnsi="Tahoma" w:cs="Tahoma"/>
        </w:rPr>
        <w:t>osobowych</w:t>
      </w:r>
      <w:r w:rsidR="00EB76BC" w:rsidRPr="00D61EBD">
        <w:rPr>
          <w:rFonts w:ascii="Tahoma" w:hAnsi="Tahoma" w:cs="Tahoma"/>
        </w:rPr>
        <w:t xml:space="preserve"> partnero</w:t>
      </w:r>
      <w:r w:rsidR="00172BD7">
        <w:rPr>
          <w:rFonts w:ascii="Tahoma" w:hAnsi="Tahoma" w:cs="Tahoma"/>
        </w:rPr>
        <w:t>wi/om</w:t>
      </w:r>
      <w:r w:rsidR="00EB76BC" w:rsidRPr="00D61EBD">
        <w:rPr>
          <w:rFonts w:ascii="Tahoma" w:hAnsi="Tahoma" w:cs="Tahoma"/>
        </w:rPr>
        <w:t xml:space="preserve"> wyłącznie w celu umożliwienia realizacji projektu i zbierania wymaganych niezbędnych danych do ewaluacji </w:t>
      </w:r>
      <w:r w:rsidR="001520D0">
        <w:rPr>
          <w:rFonts w:ascii="Tahoma" w:hAnsi="Tahoma" w:cs="Tahoma"/>
        </w:rPr>
        <w:br/>
      </w:r>
      <w:r w:rsidR="00EB76BC" w:rsidRPr="00D61EBD">
        <w:rPr>
          <w:rFonts w:ascii="Tahoma" w:hAnsi="Tahoma" w:cs="Tahoma"/>
        </w:rPr>
        <w:t xml:space="preserve">i monitoringu na temat uczestników projektu podmiotom badawczym realizującym ewaluację/analizy/ekspertyzy na zlecenie Instytucji Koordynującej, Instytucji Zarządzającej, Instytucji Pośredniczącej, </w:t>
      </w:r>
      <w:r w:rsidR="001520D0">
        <w:rPr>
          <w:rFonts w:ascii="Tahoma" w:hAnsi="Tahoma" w:cs="Tahoma"/>
        </w:rPr>
        <w:t>Partnera wiodącego</w:t>
      </w:r>
      <w:r w:rsidR="00EB76BC" w:rsidRPr="00D61EBD">
        <w:rPr>
          <w:rFonts w:ascii="Tahoma" w:hAnsi="Tahoma" w:cs="Tahoma"/>
        </w:rPr>
        <w:t xml:space="preserve"> oraz Partnera.</w:t>
      </w:r>
    </w:p>
    <w:p w:rsidR="00F00B8D" w:rsidRDefault="00172BD7" w:rsidP="00F00B8D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</w:t>
      </w:r>
      <w:r w:rsidR="00EB76BC">
        <w:rPr>
          <w:rFonts w:ascii="Tahoma" w:hAnsi="Tahoma" w:cs="Tahoma"/>
        </w:rPr>
        <w:t xml:space="preserve"> umocowuje Partne</w:t>
      </w:r>
      <w:r w:rsidR="00A328E0">
        <w:rPr>
          <w:rFonts w:ascii="Tahoma" w:hAnsi="Tahoma" w:cs="Tahoma"/>
        </w:rPr>
        <w:t>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do wydawania i odwoływania</w:t>
      </w:r>
      <w:r w:rsidR="00802B29">
        <w:rPr>
          <w:rFonts w:ascii="Tahoma" w:hAnsi="Tahoma" w:cs="Tahoma"/>
        </w:rPr>
        <w:t xml:space="preserve"> </w:t>
      </w:r>
      <w:r w:rsidR="00802B29" w:rsidRPr="001520D0">
        <w:rPr>
          <w:rFonts w:ascii="Tahoma" w:hAnsi="Tahoma" w:cs="Tahoma"/>
        </w:rPr>
        <w:t>swoim pracownikom</w:t>
      </w:r>
      <w:r w:rsidR="00A328E0">
        <w:rPr>
          <w:rFonts w:ascii="Tahoma" w:hAnsi="Tahoma" w:cs="Tahoma"/>
        </w:rPr>
        <w:t xml:space="preserve"> imiennych upoważnień do przetwarzania danych osob</w:t>
      </w:r>
      <w:r>
        <w:rPr>
          <w:rFonts w:ascii="Tahoma" w:hAnsi="Tahoma" w:cs="Tahoma"/>
        </w:rPr>
        <w:t xml:space="preserve">owych. Upoważnienia przechowuje </w:t>
      </w:r>
      <w:r w:rsidR="000E2C26">
        <w:rPr>
          <w:rFonts w:ascii="Tahoma" w:hAnsi="Tahoma" w:cs="Tahoma"/>
        </w:rPr>
        <w:t>Partner w swojej siedzibie. Wzory</w:t>
      </w:r>
      <w:r w:rsidR="00A328E0">
        <w:rPr>
          <w:rFonts w:ascii="Tahoma" w:hAnsi="Tahoma" w:cs="Tahoma"/>
        </w:rPr>
        <w:t xml:space="preserve"> upoważnienia oraz odwołanie upoważnienia do przetwarzania danych </w:t>
      </w:r>
      <w:r w:rsidR="00A328E0" w:rsidRPr="00F00B8D">
        <w:rPr>
          <w:rFonts w:ascii="Tahoma" w:hAnsi="Tahoma" w:cs="Tahoma"/>
        </w:rPr>
        <w:t xml:space="preserve">osobowych </w:t>
      </w:r>
      <w:r w:rsidRPr="00F00B8D">
        <w:rPr>
          <w:rFonts w:ascii="Tahoma" w:hAnsi="Tahoma" w:cs="Tahoma"/>
        </w:rPr>
        <w:t>zostaną przekazane Partnerowi/om po zawarciu umowy o dofinansowanie projektu.</w:t>
      </w:r>
    </w:p>
    <w:p w:rsidR="00802B29" w:rsidRPr="00F00B8D" w:rsidRDefault="00172BD7" w:rsidP="00F00B8D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Partner wiodący</w:t>
      </w:r>
      <w:r w:rsidR="00796A0F" w:rsidRPr="00F00B8D">
        <w:rPr>
          <w:rFonts w:ascii="Tahoma" w:hAnsi="Tahoma" w:cs="Tahoma"/>
        </w:rPr>
        <w:t xml:space="preserve"> umocowuje </w:t>
      </w:r>
      <w:r w:rsidR="0037777F" w:rsidRPr="00F00B8D">
        <w:rPr>
          <w:rFonts w:ascii="Tahoma" w:hAnsi="Tahoma" w:cs="Tahoma"/>
        </w:rPr>
        <w:t>Partnera</w:t>
      </w:r>
      <w:r w:rsidRPr="00F00B8D">
        <w:rPr>
          <w:rFonts w:ascii="Tahoma" w:hAnsi="Tahoma" w:cs="Tahoma"/>
        </w:rPr>
        <w:t>/ów</w:t>
      </w:r>
      <w:r w:rsidR="0037777F" w:rsidRPr="00F00B8D">
        <w:rPr>
          <w:rFonts w:ascii="Tahoma" w:hAnsi="Tahoma" w:cs="Tahoma"/>
        </w:rPr>
        <w:t xml:space="preserve"> </w:t>
      </w:r>
      <w:r w:rsidR="00796A0F" w:rsidRPr="00F00B8D">
        <w:rPr>
          <w:rFonts w:ascii="Tahoma" w:hAnsi="Tahoma" w:cs="Tahoma"/>
        </w:rPr>
        <w:t xml:space="preserve">do dalszego powierzania przetwarzania danych osobowych w imieniu i na rzecz IZ podmiotom świadczącym usługi na rzecz </w:t>
      </w:r>
      <w:r w:rsidRPr="00F00B8D">
        <w:rPr>
          <w:rFonts w:ascii="Tahoma" w:hAnsi="Tahoma" w:cs="Tahoma"/>
        </w:rPr>
        <w:t>Partnera</w:t>
      </w:r>
      <w:r w:rsidR="00802B29" w:rsidRPr="00F00B8D">
        <w:rPr>
          <w:rFonts w:ascii="Tahoma" w:hAnsi="Tahoma" w:cs="Tahoma"/>
        </w:rPr>
        <w:t>/ów</w:t>
      </w:r>
      <w:r w:rsidR="00796A0F" w:rsidRPr="00F00B8D">
        <w:rPr>
          <w:rFonts w:ascii="Tahoma" w:hAnsi="Tahoma" w:cs="Tahoma"/>
        </w:rPr>
        <w:t>, w związku z realizacją projektu. Powierzenie przetwarzania danych osobowych odbywa się na podstawie umów zwieranych na piśmie</w:t>
      </w:r>
      <w:r w:rsidR="00802B29" w:rsidRPr="00F00B8D">
        <w:rPr>
          <w:rFonts w:ascii="Tahoma" w:hAnsi="Tahoma" w:cs="Tahoma"/>
        </w:rPr>
        <w:t>. Partner jest zobowiązany do każdorazowego dostosowania zakresu danych osobowych powierzanych do przetwarzania, przy czym zakres nie może być szerszy niż zakres określony w niniejszym paragrafie.</w:t>
      </w:r>
    </w:p>
    <w:p w:rsidR="00A328E0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jest uprawniony</w:t>
      </w:r>
      <w:r w:rsidR="00A328E0">
        <w:rPr>
          <w:rFonts w:ascii="Tahoma" w:hAnsi="Tahoma" w:cs="Tahoma"/>
        </w:rPr>
        <w:t xml:space="preserve"> do żądania od Partnera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wyjaśnień dotyczących:</w:t>
      </w:r>
    </w:p>
    <w:p w:rsidR="00A328E0" w:rsidRPr="00F00B8D" w:rsidRDefault="00A328E0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Stosowanych przez niego środków technicznych i organizacyjnych zapewniających ochronę przetwarzanych danych osobowych odpowiednią do zagrożeń oraz kategorii danych objętych ochroną, w tym stosowanych środków </w:t>
      </w:r>
      <w:r w:rsidRPr="00F00B8D">
        <w:rPr>
          <w:rFonts w:ascii="Tahoma" w:hAnsi="Tahoma" w:cs="Tahoma"/>
        </w:rPr>
        <w:t>sprzętowych i programowych</w:t>
      </w:r>
      <w:r w:rsidR="000C0F47" w:rsidRPr="00F00B8D">
        <w:rPr>
          <w:rFonts w:ascii="Tahoma" w:hAnsi="Tahoma" w:cs="Tahoma"/>
        </w:rPr>
        <w:t>,</w:t>
      </w:r>
    </w:p>
    <w:p w:rsidR="000C0F47" w:rsidRPr="00F00B8D" w:rsidRDefault="000C0F47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Przetwarzania powierzonych danych osobowych</w:t>
      </w:r>
      <w:r w:rsidR="00802B29" w:rsidRPr="00F00B8D">
        <w:rPr>
          <w:rFonts w:ascii="Tahoma" w:hAnsi="Tahoma" w:cs="Tahoma"/>
        </w:rPr>
        <w:t xml:space="preserve"> uczestników projektu</w:t>
      </w:r>
      <w:r w:rsidRPr="00F00B8D">
        <w:rPr>
          <w:rFonts w:ascii="Tahoma" w:hAnsi="Tahoma" w:cs="Tahoma"/>
        </w:rPr>
        <w:t>.</w:t>
      </w:r>
    </w:p>
    <w:p w:rsidR="000C0F47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Biorąc pod uwagę  charakter przetwarzania</w:t>
      </w:r>
      <w:r w:rsidR="00802B29" w:rsidRPr="00F00B8D">
        <w:rPr>
          <w:rFonts w:ascii="Tahoma" w:hAnsi="Tahoma" w:cs="Tahoma"/>
        </w:rPr>
        <w:t xml:space="preserve"> danych osobowych</w:t>
      </w:r>
      <w:r w:rsidRPr="00F00B8D">
        <w:rPr>
          <w:rFonts w:ascii="Tahoma" w:hAnsi="Tahoma" w:cs="Tahoma"/>
        </w:rPr>
        <w:t xml:space="preserve">, </w:t>
      </w:r>
      <w:r w:rsidR="00172BD7" w:rsidRPr="00F00B8D">
        <w:rPr>
          <w:rFonts w:ascii="Tahoma" w:hAnsi="Tahoma" w:cs="Tahoma"/>
        </w:rPr>
        <w:t>Partner wiodący oraz</w:t>
      </w:r>
      <w:r w:rsidRPr="00F00B8D">
        <w:rPr>
          <w:rFonts w:ascii="Tahoma" w:hAnsi="Tahoma" w:cs="Tahoma"/>
        </w:rPr>
        <w:t xml:space="preserve"> Partner</w:t>
      </w:r>
      <w:r w:rsidR="000E2C26" w:rsidRPr="00F00B8D">
        <w:rPr>
          <w:rFonts w:ascii="Tahoma" w:hAnsi="Tahoma" w:cs="Tahoma"/>
        </w:rPr>
        <w:t>/</w:t>
      </w:r>
      <w:proofErr w:type="spellStart"/>
      <w:r w:rsidR="00F00B8D">
        <w:rPr>
          <w:rFonts w:ascii="Tahoma" w:hAnsi="Tahoma" w:cs="Tahoma"/>
        </w:rPr>
        <w:t>r</w:t>
      </w:r>
      <w:r w:rsidRPr="00F00B8D">
        <w:rPr>
          <w:rFonts w:ascii="Tahoma" w:hAnsi="Tahoma" w:cs="Tahoma"/>
        </w:rPr>
        <w:t>zy</w:t>
      </w:r>
      <w:proofErr w:type="spellEnd"/>
      <w:r w:rsidRPr="00F00B8D">
        <w:rPr>
          <w:rFonts w:ascii="Tahoma" w:hAnsi="Tahoma" w:cs="Tahoma"/>
        </w:rPr>
        <w:t xml:space="preserve"> pomagają IZ poprzez odpowiednie środki techniczne i organizacyjne wywiązać się z obowiązku odpowiadania na żądania osoby, której dane dotyczą w</w:t>
      </w:r>
      <w:r>
        <w:rPr>
          <w:rFonts w:ascii="Tahoma" w:hAnsi="Tahoma" w:cs="Tahoma"/>
        </w:rPr>
        <w:t xml:space="preserve"> zakresie wykonywania jej praw i obowiązków wynikających z RODO.</w:t>
      </w:r>
    </w:p>
    <w:p w:rsidR="00E01AB3" w:rsidRDefault="00172BD7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oraz </w:t>
      </w:r>
      <w:r w:rsidR="000E2C26">
        <w:rPr>
          <w:rFonts w:ascii="Tahoma" w:hAnsi="Tahoma" w:cs="Tahoma"/>
        </w:rPr>
        <w:t>Partner/</w:t>
      </w:r>
      <w:proofErr w:type="spellStart"/>
      <w:r w:rsidR="00802B29">
        <w:rPr>
          <w:rFonts w:ascii="Tahoma" w:hAnsi="Tahoma" w:cs="Tahoma"/>
        </w:rPr>
        <w:t>r</w:t>
      </w:r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stale nadzorują osoby upoważnione do przetwarzania danych osobowych, w zakresie zabezpieczania </w:t>
      </w:r>
      <w:r>
        <w:rPr>
          <w:rFonts w:ascii="Tahoma" w:hAnsi="Tahoma" w:cs="Tahoma"/>
        </w:rPr>
        <w:t>przetwarzanych danych osobowych uczestników projektu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oraz Partner/</w:t>
      </w:r>
      <w:proofErr w:type="spellStart"/>
      <w:r w:rsidR="001520D0">
        <w:rPr>
          <w:rFonts w:ascii="Tahoma" w:hAnsi="Tahoma" w:cs="Tahoma"/>
        </w:rPr>
        <w:t>r</w:t>
      </w:r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 w:rsidR="001520D0">
        <w:rPr>
          <w:rFonts w:ascii="Tahoma" w:hAnsi="Tahoma" w:cs="Tahoma"/>
        </w:rPr>
        <w:t>r</w:t>
      </w:r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zobowiązują się do:</w:t>
      </w:r>
    </w:p>
    <w:p w:rsidR="00E01AB3" w:rsidRDefault="00E01AB3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Zachowania w poufności wszystkich danych osobowych powierzonych im w trakcie realizacji projektu lub dokumentów uzyskanych w związku </w:t>
      </w:r>
      <w:r w:rsidR="00703956">
        <w:rPr>
          <w:rFonts w:ascii="Tahoma" w:hAnsi="Tahoma" w:cs="Tahoma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Niewykorzystywania zebranych na podstawie niniejszych warunków danych osobowych dla celów innych niż </w:t>
      </w:r>
      <w:r w:rsidRPr="00F00B8D">
        <w:rPr>
          <w:rFonts w:ascii="Tahoma" w:hAnsi="Tahoma" w:cs="Tahoma"/>
        </w:rPr>
        <w:t xml:space="preserve">wskazane w ust. </w:t>
      </w:r>
      <w:r w:rsidR="00C92AEE" w:rsidRPr="00F00B8D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niniejszej umowy;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Default="000E2C2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Partner wiodący przekazuje Partnerowi/om</w:t>
      </w:r>
      <w:r w:rsidR="00703956" w:rsidRPr="000E2C26">
        <w:rPr>
          <w:rFonts w:ascii="Tahoma" w:hAnsi="Tahoma" w:cs="Tahoma"/>
        </w:rPr>
        <w:t xml:space="preserve"> zakresy danych osobowych powierzonych do przetwar</w:t>
      </w:r>
      <w:r w:rsidRPr="000E2C26">
        <w:rPr>
          <w:rFonts w:ascii="Tahoma" w:hAnsi="Tahoma" w:cs="Tahoma"/>
        </w:rPr>
        <w:t xml:space="preserve">zania po zawarciu umowy </w:t>
      </w:r>
      <w:r>
        <w:rPr>
          <w:rFonts w:ascii="Tahoma" w:hAnsi="Tahoma" w:cs="Tahoma"/>
        </w:rPr>
        <w:t>o dofinansowanie projektu.</w:t>
      </w:r>
      <w:r w:rsidR="00703956" w:rsidRPr="000E2C26">
        <w:rPr>
          <w:rFonts w:ascii="Tahoma" w:hAnsi="Tahoma" w:cs="Tahoma"/>
        </w:rPr>
        <w:t xml:space="preserve"> </w:t>
      </w:r>
    </w:p>
    <w:p w:rsidR="00703956" w:rsidRPr="000E2C26" w:rsidRDefault="0070395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Do przetwarzania danych osobowych mogą być dopuszczone jedynie osoby, posiadające imienne upoważnienia do przetwarzania danych osobowych.</w:t>
      </w:r>
    </w:p>
    <w:p w:rsidR="00703956" w:rsidRDefault="000E2C26" w:rsidP="00703956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 w:rsidR="001520D0">
        <w:rPr>
          <w:rFonts w:ascii="Tahoma" w:hAnsi="Tahoma" w:cs="Tahoma"/>
        </w:rPr>
        <w:t>r</w:t>
      </w:r>
      <w:r>
        <w:rPr>
          <w:rFonts w:ascii="Tahoma" w:hAnsi="Tahoma" w:cs="Tahoma"/>
        </w:rPr>
        <w:t>zy</w:t>
      </w:r>
      <w:proofErr w:type="spellEnd"/>
      <w:r w:rsidR="00703956">
        <w:rPr>
          <w:rFonts w:ascii="Tahoma" w:hAnsi="Tahoma" w:cs="Tahoma"/>
        </w:rPr>
        <w:t xml:space="preserve"> niezw</w:t>
      </w:r>
      <w:r w:rsidR="00F44399">
        <w:rPr>
          <w:rFonts w:ascii="Tahoma" w:hAnsi="Tahoma" w:cs="Tahoma"/>
        </w:rPr>
        <w:t xml:space="preserve">łocznie informują </w:t>
      </w:r>
      <w:r w:rsidR="001520D0" w:rsidRPr="00F00B8D">
        <w:rPr>
          <w:rFonts w:ascii="Tahoma" w:hAnsi="Tahoma" w:cs="Tahoma"/>
        </w:rPr>
        <w:t xml:space="preserve">Partnera </w:t>
      </w:r>
      <w:r w:rsidR="00EB1DD0" w:rsidRPr="00F00B8D">
        <w:rPr>
          <w:rFonts w:ascii="Tahoma" w:hAnsi="Tahoma" w:cs="Tahoma"/>
        </w:rPr>
        <w:t>wiodącego</w:t>
      </w:r>
      <w:r w:rsidR="00C92AEE" w:rsidRPr="00F00B8D">
        <w:rPr>
          <w:rFonts w:ascii="Tahoma" w:hAnsi="Tahoma" w:cs="Tahoma"/>
        </w:rPr>
        <w:t xml:space="preserve"> oraz IZ</w:t>
      </w:r>
      <w:r w:rsidR="00F44399" w:rsidRPr="00F00B8D">
        <w:rPr>
          <w:rFonts w:ascii="Tahoma" w:hAnsi="Tahoma" w:cs="Tahoma"/>
        </w:rPr>
        <w:t xml:space="preserve"> o</w:t>
      </w:r>
      <w:r w:rsidR="00703956" w:rsidRPr="00F00B8D">
        <w:rPr>
          <w:rFonts w:ascii="Tahoma" w:hAnsi="Tahoma" w:cs="Tahoma"/>
        </w:rPr>
        <w:t>:</w:t>
      </w:r>
    </w:p>
    <w:p w:rsidR="00703956" w:rsidRDefault="00703956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przypadkach naruszenia</w:t>
      </w:r>
      <w:r w:rsidR="00F44399">
        <w:rPr>
          <w:rFonts w:ascii="Tahoma" w:hAnsi="Tahoma" w:cs="Tahoma"/>
        </w:rPr>
        <w:t xml:space="preserve"> tajemnicy danych osobowych lub o ich niewłaściwym użyciu;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Wynikach kontroli prowadzonych przez podmioty uprawnione w zakresie przetwarzania danych osobowych wraz z informacją na temat zastosowania się do wydanych zaleceń.</w:t>
      </w:r>
    </w:p>
    <w:p w:rsidR="0033301C" w:rsidRPr="00F00B8D" w:rsidRDefault="00F92889" w:rsidP="0033301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 w:rsidR="00F00B8D">
        <w:rPr>
          <w:rFonts w:ascii="Tahoma" w:hAnsi="Tahoma" w:cs="Tahoma"/>
        </w:rPr>
        <w:t>r</w:t>
      </w:r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przed rozpoczęciem przetwarzania danych osobowych zobowiązani są podjąć środki </w:t>
      </w:r>
      <w:r w:rsidRPr="00F00B8D">
        <w:rPr>
          <w:rFonts w:ascii="Tahoma" w:hAnsi="Tahoma" w:cs="Tahoma"/>
        </w:rPr>
        <w:t>zabezpieczające, o których mowa w art. 32 – 39 RODO  dnia 27 kwietnia 2016 roku.</w:t>
      </w:r>
    </w:p>
    <w:p w:rsidR="00EB1DD0" w:rsidRPr="00F00B8D" w:rsidRDefault="00EB1DD0" w:rsidP="00EB1DD0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Partner zobowiązuje się do umożliwienia Partnerowi wiodącemu lub IZ a także instytucją upoważnionym dokonania kontroli w miejscach, w których są przetwarzane powierzone dane osobowe, w zakresie stosowania niniejszej umowy w terminie ustalonym przez partnera wiodącego lub IZ, nie później jednak niż 5 dni kalendarzowych od dnia powiadomienia Partnera o zamiarze przeprowadzenia kontroli, w celu sprawdzenia prawidłowości przetwarzania oraz zabezpieczenia danych osobowych.</w:t>
      </w:r>
    </w:p>
    <w:p w:rsidR="001520D0" w:rsidRPr="00F00B8D" w:rsidRDefault="001520D0" w:rsidP="001520D0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Kontrolerzy</w:t>
      </w:r>
      <w:r w:rsidR="00EB1DD0" w:rsidRPr="00F00B8D">
        <w:rPr>
          <w:rFonts w:ascii="Tahoma" w:hAnsi="Tahoma" w:cs="Tahoma"/>
        </w:rPr>
        <w:t xml:space="preserve"> </w:t>
      </w:r>
      <w:r w:rsidRPr="00F00B8D">
        <w:rPr>
          <w:rFonts w:ascii="Tahoma" w:hAnsi="Tahoma" w:cs="Tahoma"/>
        </w:rPr>
        <w:t xml:space="preserve">IZ lub podmiotów przez nią upoważnionych oraz inne instytucje upoważnione, mają </w:t>
      </w:r>
      <w:r w:rsidRPr="00F00B8D">
        <w:rPr>
          <w:rFonts w:ascii="Tahoma" w:hAnsi="Tahoma" w:cs="Tahoma"/>
        </w:rPr>
        <w:br/>
        <w:t>w szczególności prawo:</w:t>
      </w:r>
    </w:p>
    <w:p w:rsidR="001520D0" w:rsidRPr="00F00B8D" w:rsidRDefault="001520D0" w:rsidP="001520D0">
      <w:pPr>
        <w:pStyle w:val="Akapitzlist"/>
        <w:numPr>
          <w:ilvl w:val="0"/>
          <w:numId w:val="40"/>
        </w:numPr>
        <w:ind w:left="993" w:hanging="284"/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wstępu, w godzinach pracy Partnera/ów,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rozporządzeniem oraz niniejszą umową;</w:t>
      </w:r>
    </w:p>
    <w:p w:rsidR="001520D0" w:rsidRPr="00F00B8D" w:rsidRDefault="001520D0" w:rsidP="001520D0">
      <w:pPr>
        <w:pStyle w:val="Akapitzlist"/>
        <w:numPr>
          <w:ilvl w:val="0"/>
          <w:numId w:val="40"/>
        </w:numPr>
        <w:ind w:left="993" w:hanging="284"/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 xml:space="preserve">żądać złożenia pisemnych lub ustnych wyjaśnień oraz wzywać i przeprowadzać rozmowy </w:t>
      </w:r>
      <w:r w:rsidRPr="00F00B8D">
        <w:rPr>
          <w:rFonts w:ascii="Tahoma" w:hAnsi="Tahoma" w:cs="Tahoma"/>
        </w:rPr>
        <w:br/>
        <w:t>z pracownikami w zakresie niezbędnym do ustalenia stanu faktycznego,</w:t>
      </w:r>
    </w:p>
    <w:p w:rsidR="001520D0" w:rsidRPr="00F00B8D" w:rsidRDefault="001520D0" w:rsidP="001520D0">
      <w:pPr>
        <w:pStyle w:val="Akapitzlist"/>
        <w:numPr>
          <w:ilvl w:val="0"/>
          <w:numId w:val="40"/>
        </w:numPr>
        <w:ind w:left="993" w:hanging="284"/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 xml:space="preserve">wglądu do wszelkich dokumentów i wszelkich danych mających bezpośredni związek </w:t>
      </w:r>
      <w:r w:rsidRPr="00F00B8D">
        <w:rPr>
          <w:rFonts w:ascii="Tahoma" w:hAnsi="Tahoma" w:cs="Tahoma"/>
        </w:rPr>
        <w:br/>
        <w:t>z przedmiotem kontroli oraz sporządzania ich kopii;</w:t>
      </w:r>
    </w:p>
    <w:p w:rsidR="001520D0" w:rsidRPr="00F00B8D" w:rsidRDefault="001520D0" w:rsidP="001520D0">
      <w:pPr>
        <w:pStyle w:val="Akapitzlist"/>
        <w:numPr>
          <w:ilvl w:val="0"/>
          <w:numId w:val="40"/>
        </w:numPr>
        <w:ind w:left="993" w:hanging="284"/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przeprowadzania oględzin urządzeń, nośników oraz systemu informatycznego służącego do przetwarzania danych osobowych.</w:t>
      </w:r>
    </w:p>
    <w:p w:rsidR="00F44399" w:rsidRDefault="00F44399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Partner</w:t>
      </w:r>
      <w:r w:rsidR="000E2C26" w:rsidRPr="00F00B8D">
        <w:rPr>
          <w:rFonts w:ascii="Tahoma" w:hAnsi="Tahoma" w:cs="Tahoma"/>
        </w:rPr>
        <w:t>/</w:t>
      </w:r>
      <w:proofErr w:type="spellStart"/>
      <w:r w:rsidR="00F00B8D">
        <w:rPr>
          <w:rFonts w:ascii="Tahoma" w:hAnsi="Tahoma" w:cs="Tahoma"/>
        </w:rPr>
        <w:t>r</w:t>
      </w:r>
      <w:r w:rsidRPr="00F00B8D">
        <w:rPr>
          <w:rFonts w:ascii="Tahoma" w:hAnsi="Tahoma" w:cs="Tahoma"/>
        </w:rPr>
        <w:t>zy</w:t>
      </w:r>
      <w:proofErr w:type="spellEnd"/>
      <w:r w:rsidRPr="00F00B8D">
        <w:rPr>
          <w:rFonts w:ascii="Tahoma" w:hAnsi="Tahoma" w:cs="Tahoma"/>
        </w:rPr>
        <w:t xml:space="preserve"> zobowiązują się do udzielania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partnerowi wiodącemu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 xml:space="preserve"> oraz </w:t>
      </w:r>
      <w:r w:rsidR="006F37CC">
        <w:rPr>
          <w:rFonts w:ascii="Tahoma" w:hAnsi="Tahoma" w:cs="Tahoma"/>
        </w:rPr>
        <w:t xml:space="preserve">IZ </w:t>
      </w:r>
      <w:r>
        <w:rPr>
          <w:rFonts w:ascii="Tahoma" w:hAnsi="Tahoma" w:cs="Tahoma"/>
        </w:rPr>
        <w:t xml:space="preserve">na każde </w:t>
      </w:r>
      <w:r w:rsidR="006F37CC">
        <w:rPr>
          <w:rFonts w:ascii="Tahoma" w:hAnsi="Tahoma" w:cs="Tahoma"/>
        </w:rPr>
        <w:t>ich</w:t>
      </w:r>
      <w:r>
        <w:rPr>
          <w:rFonts w:ascii="Tahoma" w:hAnsi="Tahoma" w:cs="Tahoma"/>
        </w:rPr>
        <w:t xml:space="preserve"> żądanie, informacji na temat przetwarzania wszystkich danych osobowych, a w </w:t>
      </w:r>
      <w:r w:rsidR="00D61EBD">
        <w:rPr>
          <w:rFonts w:ascii="Tahoma" w:hAnsi="Tahoma" w:cs="Tahoma"/>
        </w:rPr>
        <w:t xml:space="preserve">szczególności niezwłocznego przekazywania informacji o każdym przypadku naruszenia obowiązków dotyczących ochrony </w:t>
      </w:r>
      <w:r w:rsidR="006F37CC">
        <w:rPr>
          <w:rFonts w:ascii="Tahoma" w:hAnsi="Tahoma" w:cs="Tahoma"/>
        </w:rPr>
        <w:t>danych osobowych przez Partnera/ów</w:t>
      </w:r>
      <w:r w:rsidR="00D61EBD">
        <w:rPr>
          <w:rFonts w:ascii="Tahoma" w:hAnsi="Tahoma" w:cs="Tahoma"/>
        </w:rPr>
        <w:t xml:space="preserve"> i osoby przez nich upoważnione</w:t>
      </w:r>
      <w:r w:rsidR="0033301C">
        <w:rPr>
          <w:rFonts w:ascii="Tahoma" w:hAnsi="Tahoma" w:cs="Tahoma"/>
        </w:rPr>
        <w:t>.</w:t>
      </w:r>
    </w:p>
    <w:p w:rsid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 w:rsidR="00F00B8D">
        <w:rPr>
          <w:rFonts w:ascii="Tahoma" w:hAnsi="Tahoma" w:cs="Tahoma"/>
        </w:rPr>
        <w:t>r</w:t>
      </w:r>
      <w:r w:rsidRPr="006F37CC">
        <w:rPr>
          <w:rFonts w:ascii="Tahoma" w:hAnsi="Tahoma" w:cs="Tahoma"/>
        </w:rPr>
        <w:t>zy</w:t>
      </w:r>
      <w:proofErr w:type="spellEnd"/>
      <w:r w:rsidRPr="006F37CC">
        <w:rPr>
          <w:rFonts w:ascii="Tahoma" w:hAnsi="Tahoma" w:cs="Tahoma"/>
        </w:rPr>
        <w:t xml:space="preserve"> zobowiązani są do odbierania od każdego uczestnika projektu wypełnionego O</w:t>
      </w:r>
      <w:r w:rsidR="006F37CC" w:rsidRPr="006F37CC">
        <w:rPr>
          <w:rFonts w:ascii="Tahoma" w:hAnsi="Tahoma" w:cs="Tahoma"/>
        </w:rPr>
        <w:t>świadczenia uczestnika projektu zgodnie z przekazanym przez Partnera wiodącego wzorem</w:t>
      </w:r>
      <w:r w:rsidR="006F37CC">
        <w:rPr>
          <w:rFonts w:ascii="Tahoma" w:hAnsi="Tahoma" w:cs="Tahoma"/>
        </w:rPr>
        <w:t>.</w:t>
      </w:r>
    </w:p>
    <w:p w:rsidR="0033301C" w:rsidRP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Jeżeli dokumenty zawierające dane osobowe istnieją wyłącznie w formie elektronicznej, systemy komputerowe Partnera</w:t>
      </w:r>
      <w:r w:rsidR="006F37CC">
        <w:rPr>
          <w:rFonts w:ascii="Tahoma" w:hAnsi="Tahoma" w:cs="Tahoma"/>
        </w:rPr>
        <w:t>/ów</w:t>
      </w:r>
      <w:r w:rsidRPr="006F37CC">
        <w:rPr>
          <w:rFonts w:ascii="Tahoma" w:hAnsi="Tahoma" w:cs="Tahoma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</w:t>
      </w:r>
      <w:r w:rsidR="0033301C">
        <w:rPr>
          <w:rFonts w:ascii="Tahoma" w:hAnsi="Tahoma" w:cs="Tahoma"/>
        </w:rPr>
        <w:t xml:space="preserve">rtner po zakończeniu </w:t>
      </w:r>
      <w:r w:rsidR="006F37CC">
        <w:rPr>
          <w:rFonts w:ascii="Tahoma" w:hAnsi="Tahoma" w:cs="Tahoma"/>
        </w:rPr>
        <w:t>przetwarzania danych osobowych wynikających z realizacji projektu</w:t>
      </w:r>
      <w:r>
        <w:rPr>
          <w:rFonts w:ascii="Tahoma" w:hAnsi="Tahoma" w:cs="Tahoma"/>
        </w:rPr>
        <w:t xml:space="preserve"> zależnie od decyzji </w:t>
      </w:r>
      <w:r w:rsidR="006F37CC">
        <w:rPr>
          <w:rFonts w:ascii="Tahoma" w:hAnsi="Tahoma" w:cs="Tahoma"/>
        </w:rPr>
        <w:t>IZ</w:t>
      </w:r>
      <w:r>
        <w:rPr>
          <w:rFonts w:ascii="Tahoma" w:hAnsi="Tahoma" w:cs="Tahoma"/>
        </w:rPr>
        <w:t xml:space="preserve"> usuwa lub zwraca jej wszelkie dane osobowe oraz </w:t>
      </w:r>
      <w:r w:rsidR="006F37CC">
        <w:rPr>
          <w:rFonts w:ascii="Tahoma" w:hAnsi="Tahoma" w:cs="Tahoma"/>
        </w:rPr>
        <w:t>usuwa</w:t>
      </w:r>
      <w:r w:rsidR="00C92AEE">
        <w:rPr>
          <w:rFonts w:ascii="Tahoma" w:hAnsi="Tahoma" w:cs="Tahoma"/>
        </w:rPr>
        <w:t xml:space="preserve"> </w:t>
      </w:r>
      <w:r w:rsidR="00C92AEE" w:rsidRPr="001520D0">
        <w:rPr>
          <w:rFonts w:ascii="Tahoma" w:hAnsi="Tahoma" w:cs="Tahoma"/>
        </w:rPr>
        <w:t>lub zwraca</w:t>
      </w:r>
      <w:r w:rsidR="006F37CC">
        <w:rPr>
          <w:rFonts w:ascii="Tahoma" w:hAnsi="Tahoma" w:cs="Tahoma"/>
        </w:rPr>
        <w:t xml:space="preserve"> wszelkie istniejące </w:t>
      </w:r>
      <w:r w:rsidR="006F37CC" w:rsidRPr="001520D0">
        <w:rPr>
          <w:rFonts w:ascii="Tahoma" w:hAnsi="Tahoma" w:cs="Tahoma"/>
        </w:rPr>
        <w:t>kopie</w:t>
      </w:r>
      <w:r w:rsidR="00C92AEE" w:rsidRPr="001520D0">
        <w:rPr>
          <w:rFonts w:ascii="Tahoma" w:hAnsi="Tahoma" w:cs="Tahoma"/>
        </w:rPr>
        <w:t xml:space="preserve"> tych danych</w:t>
      </w:r>
      <w:r w:rsidR="006F37CC" w:rsidRPr="001520D0">
        <w:rPr>
          <w:rFonts w:ascii="Tahoma" w:hAnsi="Tahoma" w:cs="Tahoma"/>
        </w:rPr>
        <w:t>.</w:t>
      </w:r>
    </w:p>
    <w:p w:rsidR="00C92AEE" w:rsidRDefault="00D61EBD" w:rsidP="00C92A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zobowiązani są do zastosowania zaleceń</w:t>
      </w:r>
      <w:r w:rsidR="00C92AEE">
        <w:rPr>
          <w:rFonts w:ascii="Tahoma" w:hAnsi="Tahoma" w:cs="Tahoma"/>
        </w:rPr>
        <w:t xml:space="preserve"> Partnera wiodącego lub IZ</w:t>
      </w:r>
      <w:r>
        <w:rPr>
          <w:rFonts w:ascii="Tahoma" w:hAnsi="Tahoma" w:cs="Tahoma"/>
        </w:rPr>
        <w:t xml:space="preserve"> dotyczących poprawy jakości zabezpieczenia danych osobowych oraz sposobu ich przetwarzania.</w:t>
      </w:r>
    </w:p>
    <w:p w:rsidR="00D61EBD" w:rsidRPr="00F44399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sprawach nieuregulowanych niniejszym paragrafem mają zastosowanie przepisy RODO z 27 kwietnia 2016 roku.</w:t>
      </w: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</w:t>
      </w:r>
      <w:proofErr w:type="spellStart"/>
      <w:r w:rsidRPr="001C072B">
        <w:rPr>
          <w:rFonts w:ascii="Tahoma" w:hAnsi="Tahoma" w:cs="Tahoma"/>
        </w:rPr>
        <w:t>ych</w:t>
      </w:r>
      <w:proofErr w:type="spellEnd"/>
      <w:r w:rsidRPr="001C072B">
        <w:rPr>
          <w:rFonts w:ascii="Tahoma" w:hAnsi="Tahoma" w:cs="Tahoma"/>
        </w:rPr>
        <w:t xml:space="preserve">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0D2" w:rsidRDefault="00BC60D2" w:rsidP="00D3230A">
      <w:r>
        <w:separator/>
      </w:r>
    </w:p>
  </w:endnote>
  <w:endnote w:type="continuationSeparator" w:id="0">
    <w:p w:rsidR="00BC60D2" w:rsidRDefault="00BC60D2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4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0D2" w:rsidRDefault="00BC60D2" w:rsidP="00D3230A">
      <w:r>
        <w:separator/>
      </w:r>
    </w:p>
  </w:footnote>
  <w:footnote w:type="continuationSeparator" w:id="0">
    <w:p w:rsidR="00BC60D2" w:rsidRDefault="00BC60D2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04329C" w:rsidRPr="0004329C" w:rsidTr="0004329C">
      <w:trPr>
        <w:trHeight w:val="727"/>
      </w:trPr>
      <w:tc>
        <w:tcPr>
          <w:tcW w:w="10870" w:type="dxa"/>
          <w:gridSpan w:val="6"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04329C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385379F" wp14:editId="0742D332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8B3C095" wp14:editId="0AA16FAA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2EFC43B" wp14:editId="7E39D997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347FCCC" wp14:editId="7D25CBAB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B54E4C"/>
    <w:multiLevelType w:val="hybridMultilevel"/>
    <w:tmpl w:val="E58230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6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8"/>
  </w:num>
  <w:num w:numId="4">
    <w:abstractNumId w:val="19"/>
  </w:num>
  <w:num w:numId="5">
    <w:abstractNumId w:val="5"/>
  </w:num>
  <w:num w:numId="6">
    <w:abstractNumId w:val="25"/>
  </w:num>
  <w:num w:numId="7">
    <w:abstractNumId w:val="35"/>
  </w:num>
  <w:num w:numId="8">
    <w:abstractNumId w:val="23"/>
  </w:num>
  <w:num w:numId="9">
    <w:abstractNumId w:val="7"/>
  </w:num>
  <w:num w:numId="10">
    <w:abstractNumId w:val="2"/>
  </w:num>
  <w:num w:numId="11">
    <w:abstractNumId w:val="0"/>
  </w:num>
  <w:num w:numId="12">
    <w:abstractNumId w:val="18"/>
  </w:num>
  <w:num w:numId="13">
    <w:abstractNumId w:val="14"/>
  </w:num>
  <w:num w:numId="14">
    <w:abstractNumId w:val="31"/>
  </w:num>
  <w:num w:numId="15">
    <w:abstractNumId w:val="26"/>
  </w:num>
  <w:num w:numId="16">
    <w:abstractNumId w:val="29"/>
  </w:num>
  <w:num w:numId="17">
    <w:abstractNumId w:val="17"/>
  </w:num>
  <w:num w:numId="18">
    <w:abstractNumId w:val="30"/>
  </w:num>
  <w:num w:numId="19">
    <w:abstractNumId w:val="6"/>
  </w:num>
  <w:num w:numId="20">
    <w:abstractNumId w:val="27"/>
  </w:num>
  <w:num w:numId="21">
    <w:abstractNumId w:val="9"/>
  </w:num>
  <w:num w:numId="22">
    <w:abstractNumId w:val="11"/>
  </w:num>
  <w:num w:numId="23">
    <w:abstractNumId w:val="36"/>
  </w:num>
  <w:num w:numId="24">
    <w:abstractNumId w:val="21"/>
  </w:num>
  <w:num w:numId="25">
    <w:abstractNumId w:val="34"/>
  </w:num>
  <w:num w:numId="26">
    <w:abstractNumId w:val="28"/>
  </w:num>
  <w:num w:numId="27">
    <w:abstractNumId w:val="13"/>
  </w:num>
  <w:num w:numId="28">
    <w:abstractNumId w:val="22"/>
  </w:num>
  <w:num w:numId="29">
    <w:abstractNumId w:val="12"/>
  </w:num>
  <w:num w:numId="30">
    <w:abstractNumId w:val="20"/>
  </w:num>
  <w:num w:numId="31">
    <w:abstractNumId w:val="4"/>
  </w:num>
  <w:num w:numId="32">
    <w:abstractNumId w:val="10"/>
  </w:num>
  <w:num w:numId="33">
    <w:abstractNumId w:val="16"/>
  </w:num>
  <w:num w:numId="34">
    <w:abstractNumId w:val="33"/>
  </w:num>
  <w:num w:numId="35">
    <w:abstractNumId w:val="32"/>
  </w:num>
  <w:num w:numId="36">
    <w:abstractNumId w:val="1"/>
  </w:num>
  <w:num w:numId="37">
    <w:abstractNumId w:val="24"/>
  </w:num>
  <w:num w:numId="38">
    <w:abstractNumId w:val="8"/>
  </w:num>
  <w:num w:numId="39">
    <w:abstractNumId w:val="37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854D4"/>
    <w:rsid w:val="000A480E"/>
    <w:rsid w:val="000C0CFA"/>
    <w:rsid w:val="000C0F47"/>
    <w:rsid w:val="000C5E37"/>
    <w:rsid w:val="000C7C65"/>
    <w:rsid w:val="000D4FB0"/>
    <w:rsid w:val="000E1165"/>
    <w:rsid w:val="000E2C26"/>
    <w:rsid w:val="0010364B"/>
    <w:rsid w:val="001102C6"/>
    <w:rsid w:val="00116D1F"/>
    <w:rsid w:val="00125F03"/>
    <w:rsid w:val="00126EDA"/>
    <w:rsid w:val="001340FE"/>
    <w:rsid w:val="00145A96"/>
    <w:rsid w:val="001520D0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73322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67C5C"/>
    <w:rsid w:val="00476FC6"/>
    <w:rsid w:val="00486336"/>
    <w:rsid w:val="004916B0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96A0F"/>
    <w:rsid w:val="007D752F"/>
    <w:rsid w:val="007D7CCE"/>
    <w:rsid w:val="00802B29"/>
    <w:rsid w:val="00814389"/>
    <w:rsid w:val="0081520D"/>
    <w:rsid w:val="00830448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B00777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C60D2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2AEE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53E7"/>
    <w:rsid w:val="00E20A84"/>
    <w:rsid w:val="00E445A3"/>
    <w:rsid w:val="00E536A5"/>
    <w:rsid w:val="00E6446C"/>
    <w:rsid w:val="00E71F7B"/>
    <w:rsid w:val="00E83B05"/>
    <w:rsid w:val="00E92135"/>
    <w:rsid w:val="00EB1DD0"/>
    <w:rsid w:val="00EB7446"/>
    <w:rsid w:val="00EB76BC"/>
    <w:rsid w:val="00EC066A"/>
    <w:rsid w:val="00EC374E"/>
    <w:rsid w:val="00EE3BA2"/>
    <w:rsid w:val="00EE3DFD"/>
    <w:rsid w:val="00EF0691"/>
    <w:rsid w:val="00F00B8D"/>
    <w:rsid w:val="00F20EAA"/>
    <w:rsid w:val="00F37891"/>
    <w:rsid w:val="00F44399"/>
    <w:rsid w:val="00F666CD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664C41"/>
  <w15:docId w15:val="{90F4D249-8B38-4C06-8FC8-E023532A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57407-DB65-461E-A95B-551764A9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5654</Words>
  <Characters>33929</Characters>
  <Application>Microsoft Office Word</Application>
  <DocSecurity>0</DocSecurity>
  <Lines>282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Banasik, Anna</cp:lastModifiedBy>
  <cp:revision>3</cp:revision>
  <cp:lastPrinted>2018-06-26T07:33:00Z</cp:lastPrinted>
  <dcterms:created xsi:type="dcterms:W3CDTF">2018-06-26T07:32:00Z</dcterms:created>
  <dcterms:modified xsi:type="dcterms:W3CDTF">2018-06-26T07:39:00Z</dcterms:modified>
</cp:coreProperties>
</file>