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03" w:rsidRPr="00AE3F76" w:rsidRDefault="000A7133" w:rsidP="00AE3F76">
      <w:pPr>
        <w:jc w:val="both"/>
        <w:rPr>
          <w:b/>
        </w:rPr>
      </w:pPr>
      <w:r>
        <w:rPr>
          <w:b/>
        </w:rPr>
        <w:t xml:space="preserve">SZCZEGÓŁOWA </w:t>
      </w:r>
      <w:r w:rsidR="007D7758" w:rsidRPr="00AE3F76">
        <w:rPr>
          <w:b/>
        </w:rPr>
        <w:t>TEMATYKA SZKOLENIA:</w:t>
      </w:r>
    </w:p>
    <w:p w:rsidR="007D7758" w:rsidRPr="00AE3F76" w:rsidRDefault="007D7758" w:rsidP="00AE3F76">
      <w:pPr>
        <w:jc w:val="center"/>
        <w:rPr>
          <w:b/>
          <w:sz w:val="28"/>
          <w:szCs w:val="28"/>
        </w:rPr>
      </w:pPr>
      <w:r w:rsidRPr="00AE3F76">
        <w:rPr>
          <w:b/>
          <w:sz w:val="28"/>
          <w:szCs w:val="28"/>
        </w:rPr>
        <w:t xml:space="preserve">ZAMÓWIENIA PUBLICZNE I KONKURENCYJNOŚĆ W PROJEKTACH </w:t>
      </w:r>
      <w:r w:rsidR="00AE3F76" w:rsidRPr="00AE3F76">
        <w:rPr>
          <w:b/>
          <w:sz w:val="28"/>
          <w:szCs w:val="28"/>
        </w:rPr>
        <w:br/>
      </w:r>
      <w:r w:rsidRPr="00AE3F76">
        <w:rPr>
          <w:b/>
          <w:sz w:val="28"/>
          <w:szCs w:val="28"/>
        </w:rPr>
        <w:t>WSPÓŁFINANSOWANYCH Z FUNDUSZY EUROPEJSKICH</w:t>
      </w:r>
    </w:p>
    <w:p w:rsidR="007D7758" w:rsidRDefault="007D7758" w:rsidP="00AE3F76">
      <w:pPr>
        <w:jc w:val="both"/>
      </w:pPr>
    </w:p>
    <w:p w:rsidR="007D7758" w:rsidRDefault="007D7758" w:rsidP="00AE3F76">
      <w:pPr>
        <w:pStyle w:val="Akapitzlist"/>
        <w:numPr>
          <w:ilvl w:val="0"/>
          <w:numId w:val="1"/>
        </w:numPr>
        <w:ind w:left="709"/>
        <w:jc w:val="both"/>
      </w:pPr>
      <w:r>
        <w:t>Zasady ogólne udzielania zamówień publicznych w ramach projektów współfinansowanych ze środków funduszy strukturalnych Unii Europejskich</w:t>
      </w:r>
    </w:p>
    <w:p w:rsidR="007D7758" w:rsidRDefault="007D7758" w:rsidP="00AE3F76">
      <w:pPr>
        <w:pStyle w:val="Akapitzlist"/>
        <w:numPr>
          <w:ilvl w:val="0"/>
          <w:numId w:val="2"/>
        </w:numPr>
        <w:jc w:val="both"/>
      </w:pPr>
      <w:r>
        <w:t>Obowiązek stosowania przepisów dotyczących zamówień publicznych przez beneficjentów funduszy strukturalnych</w:t>
      </w:r>
    </w:p>
    <w:p w:rsidR="007D7758" w:rsidRDefault="007D7758" w:rsidP="00AE3F76">
      <w:pPr>
        <w:pStyle w:val="Akapitzlist"/>
        <w:numPr>
          <w:ilvl w:val="0"/>
          <w:numId w:val="2"/>
        </w:numPr>
        <w:jc w:val="both"/>
      </w:pPr>
      <w:r>
        <w:t>Wdrażanie przepisów dyrektyw z zakresu zamówień publicznych w związku z wejściem w życie nowych dyrektyw unijnych</w:t>
      </w:r>
    </w:p>
    <w:p w:rsidR="007D7758" w:rsidRDefault="007D7758" w:rsidP="00AE3F76">
      <w:pPr>
        <w:pStyle w:val="Akapitzlist"/>
        <w:jc w:val="both"/>
      </w:pPr>
    </w:p>
    <w:p w:rsidR="007D7758" w:rsidRDefault="007D7758" w:rsidP="00AE3F76">
      <w:pPr>
        <w:pStyle w:val="Akapitzlist"/>
        <w:numPr>
          <w:ilvl w:val="0"/>
          <w:numId w:val="1"/>
        </w:numPr>
        <w:ind w:left="709"/>
        <w:jc w:val="both"/>
      </w:pPr>
      <w:r>
        <w:t>Udzielanie zamówień publicznych przez beneficjentów funduszy strukturalnych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Kwalifikacja podmiotowa zamawiających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Zasady udzielania zamówień publicznych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Zasada konkurencyjności w ramach projektów współfinansowanych ze środków funduszy strukturalnych Unii Europejskich na lata 2014-2020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Ustalanie wartości szacunkowej zamówienia</w:t>
      </w:r>
    </w:p>
    <w:p w:rsidR="007D7758" w:rsidRDefault="000D1B26" w:rsidP="00AE3F76">
      <w:pPr>
        <w:pStyle w:val="Akapitzlist"/>
        <w:numPr>
          <w:ilvl w:val="0"/>
          <w:numId w:val="4"/>
        </w:numPr>
        <w:jc w:val="both"/>
      </w:pPr>
      <w:r>
        <w:t>nakaz sumowania i zakaz dzielenia</w:t>
      </w:r>
    </w:p>
    <w:p w:rsidR="007D7758" w:rsidRDefault="000D1B26" w:rsidP="00AE3F76">
      <w:pPr>
        <w:pStyle w:val="Akapitzlist"/>
        <w:numPr>
          <w:ilvl w:val="0"/>
          <w:numId w:val="4"/>
        </w:numPr>
        <w:jc w:val="both"/>
      </w:pPr>
      <w:r>
        <w:t>reguły szacowania zamówień w przypadku korekty planu finansowego</w:t>
      </w:r>
    </w:p>
    <w:p w:rsidR="007D7758" w:rsidRDefault="000D1B26" w:rsidP="00AE3F76">
      <w:pPr>
        <w:pStyle w:val="Akapitzlist"/>
        <w:numPr>
          <w:ilvl w:val="0"/>
          <w:numId w:val="4"/>
        </w:numPr>
        <w:jc w:val="both"/>
      </w:pPr>
      <w:r>
        <w:t>najczęściej popełniane błędy przy szacowaniu zamówienia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Wytyczne dotyczące kwalifikowalności wydatków w ramach projektów współfinansowanych ze środków funduszy strukturalnych Unii Europejskich na lata 2014-2020</w:t>
      </w:r>
    </w:p>
    <w:p w:rsidR="007D7758" w:rsidRDefault="000D1B26" w:rsidP="00AE3F76">
      <w:pPr>
        <w:pStyle w:val="Akapitzlist"/>
        <w:numPr>
          <w:ilvl w:val="0"/>
          <w:numId w:val="5"/>
        </w:numPr>
        <w:jc w:val="both"/>
      </w:pPr>
      <w:r>
        <w:t>cel, zakres i obowiązywanie wytycznych</w:t>
      </w:r>
    </w:p>
    <w:p w:rsidR="007D7758" w:rsidRDefault="000D1B26" w:rsidP="00AE3F76">
      <w:pPr>
        <w:pStyle w:val="Akapitzlist"/>
        <w:numPr>
          <w:ilvl w:val="0"/>
          <w:numId w:val="5"/>
        </w:numPr>
        <w:jc w:val="both"/>
      </w:pPr>
      <w:r>
        <w:t>ocena kwalifikowalności projektu</w:t>
      </w:r>
    </w:p>
    <w:p w:rsidR="007D7758" w:rsidRDefault="000D1B26" w:rsidP="00AE3F76">
      <w:pPr>
        <w:pStyle w:val="Akapitzlist"/>
        <w:numPr>
          <w:ilvl w:val="0"/>
          <w:numId w:val="5"/>
        </w:numPr>
        <w:jc w:val="both"/>
      </w:pPr>
      <w:r>
        <w:t>ramy czasowe kwalifikowalności a zwrot kwot zatrzymanych</w:t>
      </w:r>
    </w:p>
    <w:p w:rsidR="007D7758" w:rsidRDefault="000D1B26" w:rsidP="00AE3F76">
      <w:pPr>
        <w:pStyle w:val="Akapitzlist"/>
        <w:numPr>
          <w:ilvl w:val="0"/>
          <w:numId w:val="5"/>
        </w:numPr>
        <w:jc w:val="both"/>
      </w:pPr>
      <w:r>
        <w:t>ocena kwalifikowalności wydatku</w:t>
      </w:r>
    </w:p>
    <w:p w:rsidR="007D7758" w:rsidRDefault="000D1B26" w:rsidP="00AE3F76">
      <w:pPr>
        <w:pStyle w:val="Akapitzlist"/>
        <w:numPr>
          <w:ilvl w:val="0"/>
          <w:numId w:val="5"/>
        </w:numPr>
        <w:jc w:val="both"/>
      </w:pPr>
      <w:r>
        <w:t>wydatki niekwalifikowalne</w:t>
      </w:r>
    </w:p>
    <w:p w:rsidR="007D7758" w:rsidRDefault="000D1B26" w:rsidP="00AE3F76">
      <w:pPr>
        <w:pStyle w:val="Akapitzlist"/>
        <w:numPr>
          <w:ilvl w:val="0"/>
          <w:numId w:val="5"/>
        </w:numPr>
        <w:jc w:val="both"/>
      </w:pPr>
      <w:r>
        <w:t>metody rozliczania wydatków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Opis przedmiotu zamówienia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Osoby przygotowujące i prowadzące postępowanie o udzielanie zamówienia publicznego, dokumentowanie postępowania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Specyfikacja istotnych warunków zamówienia</w:t>
      </w:r>
    </w:p>
    <w:p w:rsidR="007D7758" w:rsidRDefault="000D1B26" w:rsidP="00AE3F76">
      <w:pPr>
        <w:pStyle w:val="Akapitzlist"/>
        <w:numPr>
          <w:ilvl w:val="0"/>
          <w:numId w:val="6"/>
        </w:numPr>
        <w:jc w:val="both"/>
      </w:pPr>
      <w:r>
        <w:t>t</w:t>
      </w:r>
      <w:r w:rsidR="007D7758">
        <w:t xml:space="preserve">ermin upublicznienia </w:t>
      </w:r>
      <w:proofErr w:type="spellStart"/>
      <w:r w:rsidR="007D7758">
        <w:t>siwz</w:t>
      </w:r>
      <w:proofErr w:type="spellEnd"/>
      <w:r w:rsidR="007D7758">
        <w:t xml:space="preserve"> </w:t>
      </w:r>
    </w:p>
    <w:p w:rsidR="007D7758" w:rsidRDefault="007D7758" w:rsidP="00AE3F76">
      <w:pPr>
        <w:pStyle w:val="Akapitzlist"/>
        <w:numPr>
          <w:ilvl w:val="0"/>
          <w:numId w:val="6"/>
        </w:numPr>
        <w:jc w:val="both"/>
      </w:pPr>
      <w:r>
        <w:t xml:space="preserve">wyjaśnienia treści </w:t>
      </w:r>
      <w:proofErr w:type="spellStart"/>
      <w:r>
        <w:t>siwz</w:t>
      </w:r>
      <w:proofErr w:type="spellEnd"/>
      <w:r>
        <w:t xml:space="preserve"> i jej zmiana – konsekwencje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Wybór trybu udzielania zamówienia publicznego</w:t>
      </w:r>
    </w:p>
    <w:p w:rsidR="007D7758" w:rsidRDefault="007D7758" w:rsidP="00AE3F76">
      <w:pPr>
        <w:pStyle w:val="Akapitzlist"/>
        <w:numPr>
          <w:ilvl w:val="0"/>
          <w:numId w:val="7"/>
        </w:numPr>
        <w:jc w:val="both"/>
      </w:pPr>
      <w:r>
        <w:t>zasada prymatu trybów konkurencyjnych a pozostałe tryby udzielania zamówień publicznych</w:t>
      </w:r>
    </w:p>
    <w:p w:rsidR="007D7758" w:rsidRDefault="007D7758" w:rsidP="00AE3F76">
      <w:pPr>
        <w:pStyle w:val="Akapitzlist"/>
        <w:numPr>
          <w:ilvl w:val="0"/>
          <w:numId w:val="7"/>
        </w:numPr>
        <w:jc w:val="both"/>
      </w:pPr>
      <w:r>
        <w:t>przetarg nieograniczony</w:t>
      </w:r>
    </w:p>
    <w:p w:rsidR="007D7758" w:rsidRDefault="007D7758" w:rsidP="00AE3F76">
      <w:pPr>
        <w:pStyle w:val="Akapitzlist"/>
        <w:numPr>
          <w:ilvl w:val="0"/>
          <w:numId w:val="7"/>
        </w:numPr>
        <w:jc w:val="both"/>
      </w:pPr>
      <w:r>
        <w:t>wybór trybu udzielania zamówienia publicznego na usługi o charakterze nie priorytetowym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Warunki udziału w postępowaniu i sposób dokonania oceny ich spełnienia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Dobór kryteriów oceny ofert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Ocena złożonych ofert i wybór oferty najkorzystniejszej</w:t>
      </w:r>
    </w:p>
    <w:p w:rsidR="007D7758" w:rsidRDefault="000D1B26" w:rsidP="00AE3F76">
      <w:pPr>
        <w:pStyle w:val="Akapitzlist"/>
        <w:numPr>
          <w:ilvl w:val="0"/>
          <w:numId w:val="3"/>
        </w:numPr>
        <w:jc w:val="both"/>
      </w:pPr>
      <w:r>
        <w:t>Unieważnienie</w:t>
      </w:r>
      <w:r w:rsidR="007D7758">
        <w:t xml:space="preserve"> postępowania</w:t>
      </w:r>
    </w:p>
    <w:p w:rsidR="007D7758" w:rsidRDefault="007D7758" w:rsidP="00AE3F76">
      <w:pPr>
        <w:pStyle w:val="Akapitzlist"/>
        <w:numPr>
          <w:ilvl w:val="0"/>
          <w:numId w:val="3"/>
        </w:numPr>
        <w:jc w:val="both"/>
      </w:pPr>
      <w:r>
        <w:t>Umowy w sprawie zamówienia publicznego</w:t>
      </w:r>
    </w:p>
    <w:p w:rsidR="007D7758" w:rsidRDefault="000D1B26" w:rsidP="00AE3F76">
      <w:pPr>
        <w:pStyle w:val="Akapitzlist"/>
        <w:numPr>
          <w:ilvl w:val="0"/>
          <w:numId w:val="8"/>
        </w:numPr>
        <w:jc w:val="both"/>
      </w:pPr>
      <w:r>
        <w:t>n</w:t>
      </w:r>
      <w:r w:rsidR="007D7758">
        <w:t xml:space="preserve">aruszenie prawa </w:t>
      </w:r>
      <w:r>
        <w:t>zamówień</w:t>
      </w:r>
      <w:r w:rsidR="007D7758">
        <w:t xml:space="preserve"> publicznych a unieważnienie umowy,</w:t>
      </w:r>
    </w:p>
    <w:p w:rsidR="007D7758" w:rsidRDefault="000D1B26" w:rsidP="00AE3F76">
      <w:pPr>
        <w:pStyle w:val="Akapitzlist"/>
        <w:numPr>
          <w:ilvl w:val="0"/>
          <w:numId w:val="8"/>
        </w:numPr>
        <w:jc w:val="both"/>
      </w:pPr>
      <w:r>
        <w:t>dopuszczalne zmiany umowy.</w:t>
      </w:r>
    </w:p>
    <w:p w:rsidR="000D1B26" w:rsidRDefault="007D7758" w:rsidP="00AE3F76">
      <w:pPr>
        <w:pStyle w:val="Akapitzlist"/>
        <w:numPr>
          <w:ilvl w:val="0"/>
          <w:numId w:val="1"/>
        </w:numPr>
        <w:ind w:left="709"/>
        <w:jc w:val="both"/>
      </w:pPr>
      <w:r>
        <w:t>Kontrola i konsekwencje naruszenia przez beneficjentów funduszy europejskich przepisów dotyczących zamówień publicznych</w:t>
      </w:r>
    </w:p>
    <w:p w:rsidR="000D1B26" w:rsidRDefault="000D1B26" w:rsidP="00AE3F76">
      <w:pPr>
        <w:pStyle w:val="Akapitzlist"/>
        <w:numPr>
          <w:ilvl w:val="0"/>
          <w:numId w:val="10"/>
        </w:numPr>
        <w:jc w:val="both"/>
      </w:pPr>
      <w:r>
        <w:t>Kontrola przeprowadzonych postępowań</w:t>
      </w:r>
    </w:p>
    <w:p w:rsidR="000D1B26" w:rsidRDefault="000D1B26" w:rsidP="00AE3F76">
      <w:pPr>
        <w:pStyle w:val="Akapitzlist"/>
        <w:numPr>
          <w:ilvl w:val="0"/>
          <w:numId w:val="10"/>
        </w:numPr>
        <w:jc w:val="both"/>
      </w:pPr>
      <w:r>
        <w:t>Audyt zewnętrzny</w:t>
      </w:r>
    </w:p>
    <w:p w:rsidR="000D1B26" w:rsidRDefault="000D1B26" w:rsidP="00AE3F76">
      <w:pPr>
        <w:pStyle w:val="Akapitzlist"/>
        <w:numPr>
          <w:ilvl w:val="0"/>
          <w:numId w:val="10"/>
        </w:numPr>
        <w:jc w:val="both"/>
      </w:pPr>
      <w:proofErr w:type="spellStart"/>
      <w:r>
        <w:t>Niekwalifikowalność</w:t>
      </w:r>
      <w:proofErr w:type="spellEnd"/>
      <w:r>
        <w:t xml:space="preserve"> wydatków</w:t>
      </w:r>
    </w:p>
    <w:p w:rsidR="00AE3F76" w:rsidRDefault="00AE3F76" w:rsidP="00AE3F76">
      <w:pPr>
        <w:pStyle w:val="Akapitzlist"/>
        <w:numPr>
          <w:ilvl w:val="0"/>
          <w:numId w:val="10"/>
        </w:numPr>
        <w:jc w:val="both"/>
      </w:pPr>
      <w:r>
        <w:t xml:space="preserve">Wymierzanie korekt finansowych za naruszenie prawa zamówień publicznych związane </w:t>
      </w:r>
      <w:r>
        <w:br/>
        <w:t>z realizacją projektów współfinansowanych ze środków funduszy UE,</w:t>
      </w:r>
    </w:p>
    <w:p w:rsidR="00AE3F76" w:rsidRDefault="00AE3F76" w:rsidP="00AE3F76">
      <w:pPr>
        <w:pStyle w:val="Akapitzlist"/>
        <w:numPr>
          <w:ilvl w:val="0"/>
          <w:numId w:val="11"/>
        </w:numPr>
        <w:jc w:val="both"/>
      </w:pPr>
      <w:r>
        <w:t>metody ustalania wysokości korekt finansowych i zasada proporcjonalności</w:t>
      </w:r>
    </w:p>
    <w:p w:rsidR="00AE3F76" w:rsidRDefault="00AE3F76" w:rsidP="00AE3F76">
      <w:pPr>
        <w:pStyle w:val="Akapitzlist"/>
        <w:numPr>
          <w:ilvl w:val="0"/>
          <w:numId w:val="11"/>
        </w:numPr>
        <w:jc w:val="both"/>
      </w:pPr>
      <w:r>
        <w:t>naruszenia bez skutków finansowych,</w:t>
      </w:r>
    </w:p>
    <w:p w:rsidR="00AE3F76" w:rsidRDefault="00AE3F76" w:rsidP="00AE3F76">
      <w:pPr>
        <w:pStyle w:val="Akapitzlist"/>
        <w:numPr>
          <w:ilvl w:val="0"/>
          <w:numId w:val="11"/>
        </w:numPr>
        <w:jc w:val="both"/>
      </w:pPr>
      <w:r>
        <w:t>przykłady najczęściej popełnianych błędów poprzez beneficjentów.</w:t>
      </w:r>
    </w:p>
    <w:p w:rsidR="007D7758" w:rsidRDefault="007D7758" w:rsidP="00AE3F76">
      <w:pPr>
        <w:pStyle w:val="Akapitzlist"/>
        <w:numPr>
          <w:ilvl w:val="0"/>
          <w:numId w:val="1"/>
        </w:numPr>
        <w:ind w:left="709"/>
        <w:jc w:val="both"/>
      </w:pPr>
      <w:r>
        <w:t>Zajęcia praktyczne</w:t>
      </w:r>
    </w:p>
    <w:p w:rsidR="007D7758" w:rsidRDefault="007D7758" w:rsidP="00AE3F76">
      <w:pPr>
        <w:pStyle w:val="Akapitzlist"/>
        <w:numPr>
          <w:ilvl w:val="0"/>
          <w:numId w:val="1"/>
        </w:numPr>
        <w:ind w:left="709"/>
        <w:jc w:val="both"/>
      </w:pPr>
      <w:r>
        <w:t>Dyskusja</w:t>
      </w:r>
    </w:p>
    <w:p w:rsidR="007D7758" w:rsidRDefault="007D7758" w:rsidP="00AE3F76">
      <w:pPr>
        <w:pStyle w:val="Akapitzlist"/>
        <w:numPr>
          <w:ilvl w:val="0"/>
          <w:numId w:val="1"/>
        </w:numPr>
        <w:ind w:left="709"/>
        <w:jc w:val="both"/>
      </w:pPr>
      <w:r>
        <w:t>Podsumowanie szkolenia</w:t>
      </w:r>
    </w:p>
    <w:p w:rsidR="007D7758" w:rsidRDefault="007D7758" w:rsidP="007D7758">
      <w:pPr>
        <w:pStyle w:val="Akapitzlist"/>
        <w:ind w:left="1428"/>
      </w:pPr>
    </w:p>
    <w:sectPr w:rsidR="007D77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3F9" w:rsidRDefault="006A43F9" w:rsidP="000A7133">
      <w:pPr>
        <w:spacing w:after="0" w:line="240" w:lineRule="auto"/>
      </w:pPr>
      <w:r>
        <w:separator/>
      </w:r>
    </w:p>
  </w:endnote>
  <w:endnote w:type="continuationSeparator" w:id="0">
    <w:p w:rsidR="006A43F9" w:rsidRDefault="006A43F9" w:rsidP="000A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3F9" w:rsidRDefault="006A43F9" w:rsidP="000A7133">
      <w:pPr>
        <w:spacing w:after="0" w:line="240" w:lineRule="auto"/>
      </w:pPr>
      <w:r>
        <w:separator/>
      </w:r>
    </w:p>
  </w:footnote>
  <w:footnote w:type="continuationSeparator" w:id="0">
    <w:p w:rsidR="006A43F9" w:rsidRDefault="006A43F9" w:rsidP="000A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33" w:rsidRDefault="000A7133">
    <w:pPr>
      <w:pStyle w:val="Nagwek"/>
    </w:pPr>
    <w:r>
      <w:rPr>
        <w:noProof/>
        <w:lang w:eastAsia="pl-PL"/>
      </w:rPr>
      <w:drawing>
        <wp:inline distT="0" distB="0" distL="0" distR="0">
          <wp:extent cx="5760720" cy="9632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podstawow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6D9A"/>
    <w:multiLevelType w:val="hybridMultilevel"/>
    <w:tmpl w:val="814E06F8"/>
    <w:lvl w:ilvl="0" w:tplc="F8C8C97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EC257E"/>
    <w:multiLevelType w:val="hybridMultilevel"/>
    <w:tmpl w:val="FA063A8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8E37A5"/>
    <w:multiLevelType w:val="hybridMultilevel"/>
    <w:tmpl w:val="C7185E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C86706"/>
    <w:multiLevelType w:val="hybridMultilevel"/>
    <w:tmpl w:val="7284B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80328"/>
    <w:multiLevelType w:val="hybridMultilevel"/>
    <w:tmpl w:val="9BA828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595FBC"/>
    <w:multiLevelType w:val="hybridMultilevel"/>
    <w:tmpl w:val="E1FAD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D2706E"/>
    <w:multiLevelType w:val="hybridMultilevel"/>
    <w:tmpl w:val="0FFEDB76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5F4352DE"/>
    <w:multiLevelType w:val="hybridMultilevel"/>
    <w:tmpl w:val="9B26A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5095"/>
    <w:multiLevelType w:val="hybridMultilevel"/>
    <w:tmpl w:val="6C9646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D37E6F"/>
    <w:multiLevelType w:val="hybridMultilevel"/>
    <w:tmpl w:val="6E2AB1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14145E"/>
    <w:multiLevelType w:val="hybridMultilevel"/>
    <w:tmpl w:val="11460F3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58"/>
    <w:rsid w:val="000A7133"/>
    <w:rsid w:val="000D1B26"/>
    <w:rsid w:val="004826D0"/>
    <w:rsid w:val="006A43F9"/>
    <w:rsid w:val="007D7758"/>
    <w:rsid w:val="00AE3F76"/>
    <w:rsid w:val="00C4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0C8A69-50CF-4DE4-B1FE-72011209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7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7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33"/>
  </w:style>
  <w:style w:type="paragraph" w:styleId="Stopka">
    <w:name w:val="footer"/>
    <w:basedOn w:val="Normalny"/>
    <w:link w:val="StopkaZnak"/>
    <w:uiPriority w:val="99"/>
    <w:unhideWhenUsed/>
    <w:rsid w:val="000A7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Dziadek, Katarzyna</dc:creator>
  <cp:keywords/>
  <dc:description/>
  <cp:lastModifiedBy>Gołębiewska-Suchenia, Justyna</cp:lastModifiedBy>
  <cp:revision>2</cp:revision>
  <dcterms:created xsi:type="dcterms:W3CDTF">2016-09-27T13:19:00Z</dcterms:created>
  <dcterms:modified xsi:type="dcterms:W3CDTF">2016-09-27T13:19:00Z</dcterms:modified>
</cp:coreProperties>
</file>