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94" w:rsidRPr="00B24CB9" w:rsidRDefault="00985653" w:rsidP="00B24CB9">
      <w:pPr>
        <w:spacing w:line="240" w:lineRule="auto"/>
        <w:jc w:val="center"/>
        <w:outlineLvl w:val="0"/>
        <w:rPr>
          <w:rFonts w:eastAsia="Times New Roman"/>
          <w:b/>
          <w:bCs/>
          <w:sz w:val="32"/>
          <w:szCs w:val="32"/>
          <w:u w:val="single"/>
          <w:lang w:eastAsia="pl-PL"/>
        </w:rPr>
      </w:pPr>
      <w:r w:rsidRPr="00B24CB9">
        <w:rPr>
          <w:rFonts w:eastAsia="Times New Roman"/>
          <w:b/>
          <w:bCs/>
          <w:sz w:val="32"/>
          <w:szCs w:val="32"/>
          <w:u w:val="single"/>
          <w:lang w:eastAsia="pl-PL"/>
        </w:rPr>
        <w:t>KRYTERIA MERYTORYCZNE</w:t>
      </w:r>
    </w:p>
    <w:p w:rsidR="0055784F" w:rsidRPr="00C823FD" w:rsidRDefault="0055784F" w:rsidP="0055784F">
      <w:pPr>
        <w:rPr>
          <w:b/>
          <w:sz w:val="24"/>
          <w:szCs w:val="24"/>
        </w:rPr>
      </w:pPr>
      <w:r w:rsidRPr="00C823FD">
        <w:rPr>
          <w:b/>
          <w:sz w:val="24"/>
          <w:szCs w:val="24"/>
        </w:rPr>
        <w:t xml:space="preserve">Oś priorytetowa 7. </w:t>
      </w:r>
      <w:r w:rsidR="004C1032" w:rsidRPr="00C823FD">
        <w:rPr>
          <w:b/>
          <w:sz w:val="24"/>
          <w:szCs w:val="24"/>
        </w:rPr>
        <w:tab/>
      </w:r>
      <w:r w:rsidRPr="00C823FD">
        <w:rPr>
          <w:b/>
          <w:sz w:val="24"/>
          <w:szCs w:val="24"/>
        </w:rPr>
        <w:t>Sprawne usługi publiczne</w:t>
      </w:r>
    </w:p>
    <w:p w:rsidR="004C2ABC" w:rsidRPr="00C823FD" w:rsidRDefault="00930714" w:rsidP="004C1032">
      <w:pPr>
        <w:ind w:left="2127" w:hanging="2127"/>
        <w:outlineLvl w:val="0"/>
        <w:rPr>
          <w:rFonts w:cs="Arial"/>
          <w:b/>
          <w:sz w:val="22"/>
        </w:rPr>
      </w:pPr>
      <w:bookmarkStart w:id="0" w:name="RANGE!A1:G10"/>
      <w:r w:rsidRPr="00C823FD">
        <w:rPr>
          <w:rFonts w:cs="Arial"/>
          <w:b/>
          <w:sz w:val="22"/>
        </w:rPr>
        <w:t xml:space="preserve">Działanie </w:t>
      </w:r>
      <w:bookmarkEnd w:id="0"/>
      <w:r w:rsidR="00D20112">
        <w:rPr>
          <w:rFonts w:cs="Arial"/>
          <w:b/>
          <w:sz w:val="22"/>
        </w:rPr>
        <w:t>7.1</w:t>
      </w:r>
      <w:r w:rsidR="004C2ABC" w:rsidRPr="00C823FD">
        <w:rPr>
          <w:rFonts w:cs="Arial"/>
          <w:b/>
          <w:sz w:val="22"/>
        </w:rPr>
        <w:t xml:space="preserve">: </w:t>
      </w:r>
      <w:r w:rsidR="004C1032" w:rsidRPr="00C823FD">
        <w:rPr>
          <w:rFonts w:cs="Arial"/>
          <w:b/>
          <w:sz w:val="22"/>
        </w:rPr>
        <w:tab/>
      </w:r>
      <w:r w:rsidR="00D20112">
        <w:rPr>
          <w:rFonts w:cs="Arial"/>
          <w:b/>
          <w:sz w:val="22"/>
        </w:rPr>
        <w:t>7.1 Rozwój e- społeczeństwa</w:t>
      </w:r>
    </w:p>
    <w:p w:rsidR="00B24CB9" w:rsidRDefault="00094B62" w:rsidP="00B24CB9">
      <w:pPr>
        <w:rPr>
          <w:b/>
          <w:sz w:val="24"/>
          <w:szCs w:val="24"/>
        </w:rPr>
      </w:pPr>
      <w:r w:rsidRPr="00C823FD">
        <w:rPr>
          <w:rFonts w:eastAsia="Times New Roman"/>
          <w:b/>
          <w:bCs/>
          <w:szCs w:val="20"/>
          <w:lang w:eastAsia="pl-PL"/>
        </w:rPr>
        <w:t xml:space="preserve"> </w:t>
      </w:r>
      <w:r w:rsidR="00B24CB9">
        <w:rPr>
          <w:b/>
        </w:rPr>
        <w:t xml:space="preserve">(Tryb konkursowy i pozakonkursowy*) </w:t>
      </w:r>
      <w:r w:rsidR="00B24CB9">
        <w:rPr>
          <w:b/>
          <w:sz w:val="24"/>
          <w:szCs w:val="24"/>
        </w:rPr>
        <w:br/>
      </w:r>
      <w:r w:rsidR="00B24CB9">
        <w:rPr>
          <w:rFonts w:eastAsia="Times New Roman"/>
          <w:bCs/>
          <w:i/>
          <w:szCs w:val="20"/>
          <w:lang w:eastAsia="pl-PL"/>
        </w:rPr>
        <w:t>*W przypadku projektów realizowanych w trybie pozakonkursowym nie będą miały zastosowania kryteria punktowe. Projekty te będą oceniane jedynie za pomocą kryteriów ogólnych dopuszczających i dopuszczających sektorowych</w:t>
      </w:r>
    </w:p>
    <w:p w:rsidR="00B36FB7" w:rsidRPr="00C823FD" w:rsidRDefault="00B36FB7" w:rsidP="004B63CC">
      <w:pPr>
        <w:spacing w:line="240" w:lineRule="auto"/>
        <w:rPr>
          <w:rFonts w:eastAsia="Times New Roman" w:cs="Arial"/>
          <w:szCs w:val="20"/>
          <w:lang w:eastAsia="pl-PL"/>
        </w:rPr>
      </w:pPr>
      <w:r w:rsidRPr="00C823FD">
        <w:rPr>
          <w:rFonts w:eastAsia="Times New Roman" w:cs="Arial"/>
          <w:szCs w:val="20"/>
          <w:lang w:eastAsia="pl-PL"/>
        </w:rPr>
        <w:t>Ocena kryteriów merytorycznych będzie dokonywana na podstawie informacji zawartych we wniosku o dofinansowanie oraz wszelkich niezbędnych załącznikach.</w:t>
      </w:r>
    </w:p>
    <w:p w:rsidR="00BA45C8" w:rsidRPr="00C823FD" w:rsidRDefault="00BA45C8">
      <w:pPr>
        <w:spacing w:line="240" w:lineRule="auto"/>
        <w:rPr>
          <w:rFonts w:asciiTheme="minorHAnsi" w:eastAsia="Times New Roman" w:hAnsiTheme="minorHAnsi" w:cstheme="majorBidi"/>
          <w:b/>
          <w:bCs/>
          <w:sz w:val="24"/>
          <w:szCs w:val="24"/>
          <w:lang w:eastAsia="pl-PL"/>
        </w:rPr>
      </w:pPr>
    </w:p>
    <w:p w:rsidR="00410B55" w:rsidRPr="00C823FD" w:rsidRDefault="003B0C7D" w:rsidP="00AC388C">
      <w:pPr>
        <w:pStyle w:val="Nagwek1"/>
        <w:spacing w:before="0"/>
        <w:rPr>
          <w:sz w:val="22"/>
          <w:szCs w:val="22"/>
        </w:rPr>
      </w:pPr>
      <w:r w:rsidRPr="00C823FD">
        <w:rPr>
          <w:rFonts w:eastAsia="Times New Roman"/>
          <w:sz w:val="24"/>
          <w:szCs w:val="24"/>
          <w:lang w:eastAsia="pl-PL"/>
        </w:rPr>
        <w:t>TYP PROJEKTU:</w:t>
      </w:r>
      <w:r w:rsidRPr="00C823FD">
        <w:rPr>
          <w:rFonts w:eastAsia="Times New Roman"/>
          <w:lang w:eastAsia="pl-PL"/>
        </w:rPr>
        <w:t xml:space="preserve"> </w:t>
      </w:r>
      <w:r w:rsidR="00D20112" w:rsidRPr="00B7134B">
        <w:rPr>
          <w:sz w:val="22"/>
          <w:szCs w:val="22"/>
        </w:rPr>
        <w:t>Rozwój e-zdrowia</w:t>
      </w:r>
    </w:p>
    <w:p w:rsidR="00D8026B" w:rsidRPr="00C823FD" w:rsidRDefault="00D8026B" w:rsidP="00B674A1">
      <w:pPr>
        <w:keepNext/>
        <w:spacing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D8026B" w:rsidRPr="00B24CB9" w:rsidRDefault="00D8026B" w:rsidP="00B24CB9">
      <w:pPr>
        <w:pStyle w:val="Nagwek1"/>
        <w:spacing w:before="0"/>
        <w:jc w:val="center"/>
        <w:rPr>
          <w:rFonts w:eastAsia="Times New Roman"/>
          <w:sz w:val="24"/>
          <w:szCs w:val="24"/>
          <w:lang w:eastAsia="pl-PL"/>
        </w:rPr>
      </w:pPr>
      <w:r w:rsidRPr="00C823FD">
        <w:rPr>
          <w:rFonts w:eastAsia="Times New Roman"/>
          <w:lang w:eastAsia="pl-PL"/>
        </w:rPr>
        <w:t xml:space="preserve">KRYTERIA DOPUSZCZAJĄCE OGÓLNE </w:t>
      </w:r>
      <w:r w:rsidRPr="00C823FD">
        <w:rPr>
          <w:rFonts w:eastAsia="Times New Roman"/>
          <w:lang w:eastAsia="pl-PL"/>
        </w:rPr>
        <w:br/>
      </w:r>
      <w:r w:rsidRPr="00C823FD">
        <w:rPr>
          <w:rFonts w:eastAsia="Times New Roman"/>
          <w:sz w:val="24"/>
          <w:szCs w:val="24"/>
          <w:lang w:eastAsia="pl-PL"/>
        </w:rPr>
        <w:t>(Niespełnienie co najmniej jednego z wymienionych poniżej kryteriów powoduje odrzucenie projektu)</w:t>
      </w:r>
    </w:p>
    <w:tbl>
      <w:tblPr>
        <w:tblW w:w="1490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118"/>
        <w:gridCol w:w="9072"/>
        <w:gridCol w:w="709"/>
        <w:gridCol w:w="567"/>
        <w:gridCol w:w="992"/>
      </w:tblGrid>
      <w:tr w:rsidR="00D8026B" w:rsidRPr="00C823FD" w:rsidTr="00C642F6">
        <w:trPr>
          <w:trHeight w:val="360"/>
        </w:trPr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072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kryterium 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 dotyczy</w:t>
            </w:r>
          </w:p>
        </w:tc>
      </w:tr>
      <w:tr w:rsidR="00D8026B" w:rsidRPr="00C823FD" w:rsidTr="00EB761B">
        <w:trPr>
          <w:trHeight w:val="708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Zgodność projektu z dokumentami programowymi na lata 2014-2020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5420B6">
        <w:trPr>
          <w:trHeight w:val="3118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Zgodność projektu z obowiązującymi przepisami prawa oraz obowiązującymi wytycznymi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930714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sprawdzan</w:t>
            </w:r>
            <w:r>
              <w:rPr>
                <w:rFonts w:eastAsia="Times New Roman" w:cs="Arial"/>
                <w:szCs w:val="20"/>
              </w:rPr>
              <w:t>e</w:t>
            </w:r>
            <w:r w:rsidRPr="00930714">
              <w:rPr>
                <w:rFonts w:eastAsia="Times New Roman" w:cs="Arial"/>
                <w:szCs w:val="20"/>
              </w:rPr>
              <w:t xml:space="preserve"> będzie w szczególności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czy projekt jest zgodny z obowiązującymi przepisami prawa odnoszącymi się do jego stosowania oraz wytycznymi </w:t>
            </w:r>
            <w:r>
              <w:rPr>
                <w:rFonts w:eastAsia="Times New Roman" w:cs="Arial"/>
                <w:szCs w:val="20"/>
              </w:rPr>
              <w:t>Ministra właściwego ds. rozwoju regionalnego</w:t>
            </w:r>
            <w:r w:rsidRPr="00930714">
              <w:rPr>
                <w:rFonts w:eastAsia="Times New Roman" w:cs="Arial"/>
                <w:szCs w:val="20"/>
              </w:rPr>
              <w:t xml:space="preserve"> i wytycznymi I</w:t>
            </w:r>
            <w:r>
              <w:rPr>
                <w:rFonts w:eastAsia="Times New Roman" w:cs="Arial"/>
                <w:szCs w:val="20"/>
              </w:rPr>
              <w:t xml:space="preserve">nstytucji </w:t>
            </w:r>
            <w:r w:rsidRPr="00930714">
              <w:rPr>
                <w:rFonts w:eastAsia="Times New Roman" w:cs="Arial"/>
                <w:szCs w:val="20"/>
              </w:rPr>
              <w:t>Z</w:t>
            </w:r>
            <w:r>
              <w:rPr>
                <w:rFonts w:eastAsia="Times New Roman" w:cs="Arial"/>
                <w:szCs w:val="20"/>
              </w:rPr>
              <w:t>arządzającej</w:t>
            </w:r>
            <w:r w:rsidRPr="00930714">
              <w:rPr>
                <w:rFonts w:eastAsia="Times New Roman" w:cs="Arial"/>
                <w:szCs w:val="20"/>
              </w:rPr>
              <w:t xml:space="preserve"> RPOWŚ na lata 2014-2020. Przedmiotem analizy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będzie zgodność podstawowych parametrów technicznych z obowiązującymi aktami prawnymi dotyczącymi realizowanej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inwestycji oraz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Ustawa z 7 lipca 1994 r. Prawo budowlane, Rozporządzenie Ministra Infrastruktury </w:t>
            </w:r>
            <w:r w:rsidR="00EB761B">
              <w:rPr>
                <w:rFonts w:eastAsia="Times New Roman" w:cs="Arial"/>
                <w:i/>
                <w:iCs/>
                <w:szCs w:val="20"/>
              </w:rPr>
              <w:br/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z 12 kwietnia 2002 r. w sprawie warunków technicznych, jakim powinny odpowiadać budynki i ich usytuowanie, </w:t>
            </w:r>
            <w:r w:rsidRPr="002A16D3">
              <w:rPr>
                <w:rFonts w:eastAsia="Times New Roman" w:cs="Arial"/>
                <w:i/>
                <w:iCs/>
                <w:szCs w:val="20"/>
              </w:rPr>
              <w:t>Rozporządzenie Ministra Transportu i Gospodarki Morskiej z 2 marca 1999 r. w sprawie warunków technicznych, jakim powinny odpowiadać drogi publiczne i ich usytuowanie, itp.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EB761B">
        <w:trPr>
          <w:trHeight w:val="729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Spójność dokumentacji projektowej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Przy ocenie kryterium badana będzie w szczególności spójność pomiędzy Wnioskiem o dofinansowanie, </w:t>
            </w:r>
            <w:r w:rsidR="00EB761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 xml:space="preserve">a pozostałą dokumentacją aplikacyjną (tj. Studium wykonalności/Biznes plan, załączniki do Wniosku </w:t>
            </w:r>
            <w:r w:rsidR="00EB761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o dofinansowanie).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3B73E2">
        <w:trPr>
          <w:trHeight w:val="2440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Właściwie przygotowana analiza finansowa i/lub ekonomiczna projektu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Przy ocenie projektu weryfikacji podlegać będzie w szczególności metodologia i poprawność sporządzenia analiz w oparciu o obowiązujące przepisy prawa w tym zakresie (np. m.in. Ustawa o rachunkowości)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="00EB761B">
              <w:rPr>
                <w:rFonts w:eastAsia="Times New Roman" w:cs="Arial"/>
                <w:b/>
                <w:bCs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i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 xml:space="preserve">wytyczne (m.in.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030855">
              <w:rPr>
                <w:rFonts w:eastAsia="Times New Roman" w:cs="Arial"/>
                <w:i/>
                <w:szCs w:val="20"/>
              </w:rPr>
              <w:t>Ministra właściwego ds. rozwoju regionalnego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 w zakresie zagadnień związanych </w:t>
            </w:r>
            <w:r w:rsidR="00EB761B">
              <w:rPr>
                <w:rFonts w:eastAsia="Times New Roman" w:cs="Arial"/>
                <w:i/>
                <w:szCs w:val="20"/>
              </w:rPr>
              <w:br/>
            </w:r>
            <w:r w:rsidRPr="002C6A55">
              <w:rPr>
                <w:rFonts w:eastAsia="Times New Roman" w:cs="Arial"/>
                <w:i/>
                <w:szCs w:val="20"/>
              </w:rPr>
              <w:t>z przygotowaniem projektów inwestycyjnych, w tym projektów generujących dochód i projektów hybrydowych na lata 2014-2020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216148">
              <w:rPr>
                <w:rFonts w:eastAsia="Times New Roman" w:cs="Arial"/>
                <w:i/>
                <w:szCs w:val="20"/>
              </w:rPr>
              <w:t>Instytucji Zarządzającej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>RPOWŚ na lata 2014-2020 w zakresie sporządzania studium wykonalności/biznes planu</w:t>
            </w:r>
            <w:r w:rsidRPr="00930714">
              <w:rPr>
                <w:rFonts w:eastAsia="Times New Roman" w:cs="Arial"/>
                <w:szCs w:val="20"/>
              </w:rPr>
              <w:t>). W przypadku gdy wymagane będzie obliczenie wskaźników finansowych/ ekonomicznych sprawdzane będą m.in. realność i rzetelność przyjętych założeń  oraz poprawność obliczeń. Ponadto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badana będzie również trwałość finansowa </w:t>
            </w:r>
            <w:r w:rsidRPr="002A16D3">
              <w:rPr>
                <w:rFonts w:eastAsia="Times New Roman" w:cs="Arial"/>
                <w:szCs w:val="20"/>
              </w:rPr>
              <w:t>Wnioskodawcy (również ewentualnych partnerów projektu)</w:t>
            </w:r>
            <w:r w:rsidRPr="00930714">
              <w:rPr>
                <w:rFonts w:eastAsia="Times New Roman" w:cs="Arial"/>
                <w:szCs w:val="20"/>
              </w:rPr>
              <w:t xml:space="preserve"> tj. m.in. czy Wnioskodawca/partnerzy posiadają środki finansowe na zrealizowanie i utrzymanie inwestycji w wymaganym okresie trwałości.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3B73E2">
        <w:trPr>
          <w:trHeight w:val="3139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Efektywność ekonomiczna projektu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6B3D0A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W kryterium sprawdzane będzie w szczególności, czy  przedsięwzięcie jest uzasadnione </w:t>
            </w:r>
            <w:r w:rsidRPr="006B3D0A">
              <w:rPr>
                <w:rFonts w:eastAsia="Times New Roman" w:cs="Arial"/>
                <w:szCs w:val="20"/>
                <w:lang w:eastAsia="pl-PL"/>
              </w:rPr>
              <w:br/>
              <w:t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</w:t>
            </w:r>
            <w:r w:rsidR="00DF7F1D">
              <w:rPr>
                <w:rFonts w:eastAsia="Times New Roman" w:cs="Arial"/>
                <w:szCs w:val="20"/>
                <w:lang w:eastAsia="pl-PL"/>
              </w:rPr>
              <w:t>ktu efektywnego ekonomicznie:</w:t>
            </w:r>
          </w:p>
          <w:p w:rsidR="006B3D0A" w:rsidRPr="006B3D0A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- wartość wskaźnika ENPV powinna być &gt; 0; </w:t>
            </w:r>
          </w:p>
          <w:p w:rsidR="006B3D0A" w:rsidRPr="006B3D0A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- wartość wskaźnika ERR powinna przewyższać przyjętą stopę dyskontową; </w:t>
            </w:r>
          </w:p>
          <w:p w:rsidR="006B3D0A" w:rsidRPr="006B3D0A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>- relacja korzyści do kosztów (B/C)</w:t>
            </w:r>
            <w:r w:rsidR="005266E3">
              <w:rPr>
                <w:rFonts w:eastAsia="Times New Roman" w:cs="Arial"/>
                <w:szCs w:val="20"/>
                <w:lang w:eastAsia="pl-PL"/>
              </w:rPr>
              <w:t xml:space="preserve"> powinna być &gt; 1.</w:t>
            </w:r>
          </w:p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w formie analizy wielokryterialnej lub opisu korzyści i kosztów społecznych).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EB761B">
        <w:trPr>
          <w:trHeight w:val="1302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Właściwie ustalony/obliczony poziom dofinansowania z uwzględnieniem przepisów pomocy publicznej lub przepisów dot. projektów generujących dochód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</w:t>
            </w:r>
            <w:r w:rsidR="00EB761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w finansowaniu lub zastosowanie tzw. stawek ryczałtowych.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EB761B">
        <w:trPr>
          <w:trHeight w:val="1297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Potencjalna kwalifikowalność wydatków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</w:rPr>
              <w:t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w kontekście zgodności z zapisami stosownych dokumentów dotyczących kwalifikowalności (m.in. wytyczne Ministra właściwego ds. rozwoju regionalnego i Instytucji Zarządzającej RPOWŚ</w:t>
            </w:r>
            <w:r w:rsidR="00DE37B0">
              <w:rPr>
                <w:rFonts w:eastAsia="Times New Roman" w:cs="Arial"/>
                <w:szCs w:val="20"/>
              </w:rPr>
              <w:t xml:space="preserve"> na lata 2014 - 2020</w:t>
            </w:r>
            <w:r>
              <w:rPr>
                <w:rFonts w:eastAsia="Times New Roman" w:cs="Arial"/>
                <w:szCs w:val="20"/>
              </w:rPr>
              <w:t>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EB761B">
        <w:trPr>
          <w:trHeight w:val="847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Adekwatność rodzaju wskaźników do typu projektu i realność ich wartości docelowych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</w:t>
            </w:r>
            <w:r>
              <w:rPr>
                <w:rFonts w:eastAsia="Times New Roman" w:cs="Arial"/>
                <w:szCs w:val="20"/>
              </w:rPr>
              <w:t>działania/priorytetu</w:t>
            </w:r>
            <w:r w:rsidRPr="00930714">
              <w:rPr>
                <w:rFonts w:eastAsia="Times New Roman" w:cs="Arial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EB761B">
        <w:trPr>
          <w:trHeight w:val="706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Poprawność przeprowadzenia procedury Oceny Oddziaływania na Środowisko (OOŚ)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tym badana będzie w szczególności prawidłowość przeprowadzenia procedury OOŚ zgodnie </w:t>
            </w:r>
            <w:r w:rsidR="00EB761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z obowiązującymi przepisami prawa w tym zakresie (tj. m.in. Ustawą OOŚ, Ustawą Prawo Ochrony Środowiska, Ustawą Prawo wodne, Rozporządzeniem OOŚ)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945D3D" w:rsidRPr="00C823FD" w:rsidRDefault="00945D3D" w:rsidP="00D4064B">
      <w:pPr>
        <w:keepNext/>
        <w:spacing w:before="100" w:beforeAutospacing="1"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945D3D" w:rsidRPr="00C823FD" w:rsidRDefault="00945D3D" w:rsidP="002D527E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KRYTERIA DOPUSZCZAJĄCE SEKTOROWE </w:t>
      </w:r>
      <w:r w:rsidRPr="00C823FD">
        <w:rPr>
          <w:rFonts w:eastAsia="Times New Roman"/>
          <w:b/>
          <w:bCs/>
          <w:sz w:val="28"/>
          <w:szCs w:val="28"/>
          <w:lang w:eastAsia="pl-PL"/>
        </w:rPr>
        <w:br/>
        <w:t>(</w:t>
      </w:r>
      <w:r w:rsidRPr="00C823FD">
        <w:rPr>
          <w:rFonts w:eastAsia="Times New Roman"/>
          <w:b/>
          <w:bCs/>
          <w:sz w:val="24"/>
          <w:szCs w:val="24"/>
          <w:lang w:eastAsia="pl-PL"/>
        </w:rPr>
        <w:t>Niespełnienie co najmniej jednego z wymienionych poniżej kryteriów powoduje odrzucenie projektu)</w:t>
      </w:r>
    </w:p>
    <w:p w:rsidR="006A5D29" w:rsidRPr="00C823FD" w:rsidRDefault="006A5D29">
      <w:pPr>
        <w:rPr>
          <w:lang w:eastAsia="pl-PL"/>
        </w:rPr>
      </w:pPr>
    </w:p>
    <w:tbl>
      <w:tblPr>
        <w:tblW w:w="1476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402"/>
        <w:gridCol w:w="8505"/>
        <w:gridCol w:w="709"/>
        <w:gridCol w:w="709"/>
        <w:gridCol w:w="850"/>
      </w:tblGrid>
      <w:tr w:rsidR="00F62F7E" w:rsidRPr="00C2063A" w:rsidTr="00CA524B">
        <w:trPr>
          <w:trHeight w:val="600"/>
        </w:trPr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02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505" w:type="dxa"/>
            <w:shd w:val="clear" w:color="000000" w:fill="C0C0C0"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  <w:t>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B22DD7" w:rsidRPr="00C2063A" w:rsidTr="00EB761B">
        <w:trPr>
          <w:trHeight w:val="1726"/>
        </w:trPr>
        <w:tc>
          <w:tcPr>
            <w:tcW w:w="59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 xml:space="preserve">Czy projektowany system wnioskodawcy jest komplementarny i interoperacyjny z innymi systemami z obszaru e-zdrowia oraz nie dubluje funkcjonalności istniejących systemów w obszarze e-zdrowia? 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W ramach kryterium weryfikowane będzie, czy projekt polegający na dostosowaniu systemów informatycznych świadczeniodawców do wymiany danych będzie komplementarny i interoperacyjny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z Systemem Informacji Medycznej lub z systemami innych świadczeniodawców, a także weryfikowane będzie, czy nie dubluje funkcjonalności przewidzianych w krajowych Platformach P1– Elektroniczna Platforma Gromadzenia, Analizy i Udostępniania Zasobów Cyfrowych o Zdarzeniach Medycznych lub P2 – Platforma Udostępniania On-line Przedsiębiorcom Usług i Zasobów Cyfrowych Rejestrów Medycznych lub P4 - Dziedzinowe systemy teleinformatyczne systemu informacji w ochronie zdrowia</w:t>
            </w:r>
            <w:r w:rsidRPr="00C24075">
              <w:rPr>
                <w:rFonts w:asciiTheme="minorHAnsi" w:hAnsiTheme="minorHAnsi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22DD7" w:rsidRPr="00C2063A" w:rsidTr="00C24075">
        <w:trPr>
          <w:trHeight w:val="1438"/>
        </w:trPr>
        <w:tc>
          <w:tcPr>
            <w:tcW w:w="59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 xml:space="preserve">Czy projektowany system wnioskodawcy umożliwi wymianę elektronicznej dokumentacji medycznej z Platformą P1? 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Jeżeli projekt obejmuje obszary wymiany dokumentów medycznych, wspierane w  platformie P1,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to należy wykazać że projektowany system wnioskodawcy będzie posiadał mechanizmy wymiany danych z systemami prowadzonymi przez  Centrum Systemów Informacyjnych Ochrony Zdrowia (CSIOZ). Ponadto należy wykazać że zostanie zachowana zgodność ze standardami wymiany informacji opracowanymi przez CSIOZ (np. HL7 CDA). Wnioskodawca musi równ</w:t>
            </w:r>
            <w:r w:rsidR="00B255D8" w:rsidRPr="00C24075">
              <w:rPr>
                <w:rFonts w:asciiTheme="minorHAnsi" w:hAnsiTheme="minorHAnsi"/>
                <w:color w:val="000000"/>
                <w:szCs w:val="20"/>
              </w:rPr>
              <w:t>i</w:t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eż wykazać możliwość współpracy z platformą regionalną i w zakresie przekazywania dokumentacji medycznej, jeśli taka powstanie.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22DD7" w:rsidRPr="00C2063A" w:rsidTr="00C24075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platforma regionalna będzie umożliwiać przyjmowanie dokumentacji medycznej z obszaru województwa, dostarczanej przez dowolne podmioty lecznicze bez względu na ich typ oraz podmiot tworzący?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>Jeżeli projekt przewiduje budowę platformy regionalnej,  to wnioskodawca musi wykazać, że zostaną w niej uruchomione serwisy do wymiany danych z różnymi podmiotami służby zdrowia, a platforma posiad</w:t>
            </w:r>
            <w:r w:rsidR="00B255D8" w:rsidRPr="00C24075">
              <w:rPr>
                <w:rFonts w:asciiTheme="minorHAnsi" w:hAnsiTheme="minorHAnsi"/>
                <w:color w:val="000000"/>
                <w:szCs w:val="20"/>
              </w:rPr>
              <w:t>a</w:t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ć będzie mechanizmy zapewniające skalowalność we wszystkich obszarach funkcjonalnych,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w tym poprzez możliwość zwiększenia liczby użytkowników bez względu na ich typ (opieka szpitalna, ambulatoryjna opieka specjalistyczna - AOS, podstawowa opieka zdrowotna - POZ) oraz podmiot tworzący.</w:t>
            </w:r>
            <w:r w:rsidRPr="00C24075">
              <w:rPr>
                <w:rFonts w:asciiTheme="minorHAnsi" w:hAnsiTheme="minorHAnsi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255D8" w:rsidRPr="00C2063A" w:rsidTr="00C24075">
        <w:trPr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B255D8" w:rsidRPr="00C24075" w:rsidRDefault="00B255D8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 xml:space="preserve">Czy projektowany system wnioskodawcy w zakresie wytwarzania, prowadzenia i udostępniania EDM, będzie zgodny ze standardami zapisu dokumentacji medycznej  opublikowanej  przez właściwego ministra  ds. zdrowia lub przez Centrum Systemów Informatycznych Ochrony Zdrowia?  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B255D8" w:rsidRPr="00C24075" w:rsidRDefault="00B255D8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W ramach kryterium weryfikowane będzie, czy projektowany system będzie umożliwiał prowadzenie oraz wymianę (udostępnianie) dokumentacji medycznej w postaci elektronicznej  w rozumieniu Ustawy o systemie informacji w ochronie zdrowia (EDM), w tym indywidualnej dokumentacji medycznej (wewnętrznej i zewnętrznej) oraz czy uwzględnia rozwiązania umożliwiające zbieranie przez podmiot udzielający świadczeń opieki zdrowotnej jednostkowych danych medycznych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w elektronicznym rekordzie pacjenta i tworzenie EDM zgodnej ze standardem HL7 CDA, opublikowanym przez  właściwego ministerstwa  ds. zdrowia lub przez CSIOZ, bądź też uregulowanych innymi aktami prawnymi.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255D8" w:rsidRPr="00C2063A" w:rsidTr="00C24075">
        <w:trPr>
          <w:trHeight w:val="1253"/>
        </w:trPr>
        <w:tc>
          <w:tcPr>
            <w:tcW w:w="590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B255D8" w:rsidRPr="00C24075" w:rsidRDefault="00B255D8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projekt  budowy regionalnej platformy uwzględnia funkcjonalności wymagane dla repozytorium elektronicznej dokumentacji medycznej?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B255D8" w:rsidRPr="00C24075" w:rsidRDefault="00B255D8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W ramach kryterium weryfikowane będzie, czy rozwiązania przyjęte dla budowy regionalnej platformy uwzględniają funkcjonalności dotyczące regionalnego repozytorium EDM, z obsługą przechowywania EDM. Repozytorium EDM powinno realizować co najmniej usługę przyjmowania, archiwizacji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i udostępniania EDM zgodnej z HL7 CDA, a w przypadku repozytoriów badań obrazowych przyjmowania, archiwizacji i udostępniania obiektów DICOM.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C24075">
        <w:trPr>
          <w:trHeight w:val="588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C24075" w:rsidRDefault="005266E3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projekt jest drożny z prawnego punktu widzenia?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CE1B2D" w:rsidRPr="00C24075" w:rsidRDefault="005266E3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>Do dofinansowania zostaną wybrane wyłącznie projekty, w których wnioskodawca zapewni, iż nie będą one obarczone ryzykiem braku realizacji lub opóźnień związanych np. z brakiem regulacji prawnych w kraju.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C24075">
        <w:trPr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C24075" w:rsidRDefault="00D6512D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przynajmniej jedna z usług objętych projektem będzie udostępniona na co najmniej trzecim poziomie e-dojrzałości?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A92E19" w:rsidRDefault="00D6512D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Zgodnie z rekomendacjami Ministerstwa Cyfryzacji wymagane minimum (kryterium dostępności) stanowi tzw. trzeci stopień e-dojrzałości usługi, definiowany wg gradacji przytoczonej poniżej. Jest to usługa on-line charakteryzowana jako interakcja dwustronna (two‐way interaction), która umożliwia transfer danych w dwóch kierunkach. Typowym sposobem jej realizacji jest pobranie, wypełnienie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i odesłanie formularza drogą elektroniczną. Usługi te mogą obejmować np. wymianę dokumentacji medycznej, rejestrację itp. Ponadto, wystąpienie usług na poziomie wyższym od trzeciego premiowane jest w kryterium punktowym nr </w:t>
            </w:r>
            <w:r w:rsidR="0028687F">
              <w:rPr>
                <w:rFonts w:asciiTheme="minorHAnsi" w:hAnsiTheme="minorHAnsi"/>
                <w:color w:val="000000"/>
                <w:szCs w:val="20"/>
              </w:rPr>
              <w:t>6</w:t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. — pt. Poziom dojrzałości e usług objętych projektem</w:t>
            </w:r>
            <w:r w:rsidR="00A92E19">
              <w:rPr>
                <w:rFonts w:asciiTheme="minorHAnsi" w:hAnsiTheme="minorHAnsi"/>
                <w:color w:val="000000"/>
                <w:szCs w:val="20"/>
              </w:rPr>
              <w:t xml:space="preserve">. </w:t>
            </w:r>
          </w:p>
          <w:p w:rsidR="00A92E19" w:rsidRDefault="00EC7E8A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>Poziomy dojrzałości  e-</w:t>
            </w:r>
            <w:r w:rsidR="00D6512D" w:rsidRPr="00C24075">
              <w:rPr>
                <w:rFonts w:asciiTheme="minorHAnsi" w:hAnsiTheme="minorHAnsi"/>
                <w:color w:val="000000"/>
                <w:szCs w:val="20"/>
              </w:rPr>
              <w:t>usług objętych projektem:</w:t>
            </w:r>
          </w:p>
          <w:p w:rsidR="00A92E19" w:rsidRPr="00A92E19" w:rsidRDefault="00EC7E8A" w:rsidP="00EB761B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1) </w:t>
            </w:r>
            <w:r w:rsidR="007A053D">
              <w:rPr>
                <w:rFonts w:asciiTheme="minorHAnsi" w:hAnsiTheme="minorHAnsi"/>
                <w:color w:val="000000"/>
                <w:szCs w:val="20"/>
              </w:rPr>
              <w:t>p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>oziom informacyjny (information) – podmiot publikuje informacje na stronie WWW, mieszkańcy przeglądając witryny podmiotu na komputerach lub specjalnych kioskach informacyjnych, uzyskują potrzebne im informacje</w:t>
            </w:r>
          </w:p>
          <w:p w:rsidR="00A92E19" w:rsidRPr="00A92E19" w:rsidRDefault="00EC7E8A" w:rsidP="00EB761B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2) </w:t>
            </w:r>
            <w:r w:rsidR="007A053D">
              <w:rPr>
                <w:rFonts w:asciiTheme="minorHAnsi" w:hAnsiTheme="minorHAnsi"/>
                <w:color w:val="000000"/>
                <w:szCs w:val="20"/>
              </w:rPr>
              <w:t>p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 xml:space="preserve">oziom interakcyjny (one‐way interaction) – interesariusze komunikują się z urzędami drogą 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lastRenderedPageBreak/>
              <w:t xml:space="preserve">elektroniczną, ale jest to komunikacja jednostronna </w:t>
            </w:r>
          </w:p>
          <w:p w:rsidR="00A92E19" w:rsidRPr="00A92E19" w:rsidRDefault="00EC7E8A" w:rsidP="00EB761B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3) </w:t>
            </w:r>
            <w:r w:rsidR="007A053D">
              <w:rPr>
                <w:rFonts w:asciiTheme="minorHAnsi" w:hAnsiTheme="minorHAnsi"/>
                <w:color w:val="000000"/>
                <w:szCs w:val="20"/>
              </w:rPr>
              <w:t>i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 xml:space="preserve">nterakcja dwustronna (two‐way interaction) – Usługa on-line o stopniu dojrzałości 3 umożliwia transfer danych w dwóch kierunkach. Typowym sposobem jej realizacji jest pobranie, wypełnienie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>i odesłanie formularza drogą elektroniczną. Usługi powyższe obejmują np. wymianę dokumentacji medycznej, rejestrację itp.</w:t>
            </w:r>
          </w:p>
          <w:p w:rsidR="00A92E19" w:rsidRPr="00A92E19" w:rsidRDefault="00EC7E8A" w:rsidP="00EB761B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4) 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 xml:space="preserve">pełna transakcja, która umożliwia całkowite załatwienie danej sprawy drogą elektroniczną, łącznie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>z ewentualną płatnością</w:t>
            </w:r>
          </w:p>
          <w:p w:rsidR="00CE1B2D" w:rsidRPr="00A92E19" w:rsidRDefault="00EC7E8A" w:rsidP="00EB761B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contextualSpacing w:val="0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5) 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 xml:space="preserve">oprócz możliwości pełnego załatwienia danej sprawy na tym poziomie występują dodatkowo mechanizmy personalizacji, tj. dostosowania sposobu świadczenia do szczególnych uwarunkowań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 xml:space="preserve">i potrzeb klienta (np. oferowanie częściowo wypełnionych formularzy, informowanie klienta sms-em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>o zbliżającej się potrzebie wykonania danej czynności urzędowej). Jednocześnie muszą być spełnione wszystkie funkcje i wymagania dla wcześniejszych poziomów</w:t>
            </w:r>
            <w:r w:rsidR="00A92E19" w:rsidRPr="00A92E19">
              <w:rPr>
                <w:rFonts w:asciiTheme="minorHAnsi" w:hAnsiTheme="minorHAnsi"/>
                <w:color w:val="00000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C24075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9E401F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9E401F" w:rsidRPr="00C24075" w:rsidRDefault="00D6512D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efekty realizacji projektu mają zapewnioną trwałość organizacyjną, techniczną i finansową?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CE1B2D" w:rsidRPr="00C24075" w:rsidRDefault="00D6512D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>Wnioskodawca ma wykazać, że jest odpowiednio przygotowany do utrzymania efektów realizacji projektu pod względem organizacyjnym, technicznym i finansowym.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945D3D" w:rsidRPr="00C823FD" w:rsidRDefault="00945D3D" w:rsidP="00B53072">
      <w:pPr>
        <w:keepNext/>
        <w:spacing w:line="240" w:lineRule="auto"/>
        <w:jc w:val="center"/>
        <w:outlineLvl w:val="0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>Opis znaczenia kryteriów:</w:t>
      </w:r>
    </w:p>
    <w:p w:rsidR="00D8026B" w:rsidRPr="00C823FD" w:rsidRDefault="00945D3D" w:rsidP="00B53072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KRYTERIA PUNKTOWE </w:t>
      </w:r>
    </w:p>
    <w:p w:rsidR="00945D3D" w:rsidRPr="00EB761B" w:rsidRDefault="00D8026B" w:rsidP="00A03D5A">
      <w:pPr>
        <w:keepNext/>
        <w:spacing w:line="240" w:lineRule="auto"/>
        <w:jc w:val="center"/>
        <w:rPr>
          <w:rFonts w:eastAsia="Times New Roman"/>
          <w:bCs/>
          <w:szCs w:val="20"/>
          <w:lang w:eastAsia="pl-PL"/>
        </w:rPr>
      </w:pPr>
      <w:r w:rsidRPr="00EB761B">
        <w:rPr>
          <w:rFonts w:eastAsia="Times New Roman"/>
          <w:bCs/>
          <w:szCs w:val="20"/>
          <w:lang w:eastAsia="pl-PL"/>
        </w:rPr>
        <w:t>(Nie</w:t>
      </w:r>
      <w:r w:rsidR="00945D3D" w:rsidRPr="00EB761B">
        <w:rPr>
          <w:rFonts w:eastAsia="Times New Roman"/>
          <w:bCs/>
          <w:szCs w:val="20"/>
          <w:lang w:eastAsia="pl-PL"/>
        </w:rPr>
        <w:t>uzyskanie co najmniej 60% maksymalnej liczby punktów powoduje odrzucenie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143"/>
        <w:gridCol w:w="7735"/>
        <w:gridCol w:w="923"/>
        <w:gridCol w:w="1009"/>
        <w:gridCol w:w="1253"/>
      </w:tblGrid>
      <w:tr w:rsidR="00E825A0" w:rsidRPr="00C823FD" w:rsidTr="002C13A4">
        <w:trPr>
          <w:trHeight w:val="602"/>
          <w:tblHeader/>
        </w:trPr>
        <w:tc>
          <w:tcPr>
            <w:tcW w:w="275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Lp.</w:t>
            </w:r>
          </w:p>
        </w:tc>
        <w:tc>
          <w:tcPr>
            <w:tcW w:w="1056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2599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310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339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421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E825A0" w:rsidRPr="002A1E77" w:rsidTr="00EB761B">
        <w:trPr>
          <w:trHeight w:val="2174"/>
        </w:trPr>
        <w:tc>
          <w:tcPr>
            <w:tcW w:w="275" w:type="pct"/>
            <w:shd w:val="clear" w:color="auto" w:fill="auto"/>
            <w:vAlign w:val="center"/>
            <w:hideMark/>
          </w:tcPr>
          <w:p w:rsidR="00863921" w:rsidRPr="002A1E77" w:rsidRDefault="00863921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863921" w:rsidRPr="00DA454D" w:rsidRDefault="00554EC4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Liczba podmiotów udzielających świadczeń opieki zdrowotnej objętych projektem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556FD6" w:rsidRDefault="00554EC4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 xml:space="preserve">Kryterium premiować będzie liczbę podmiotów udzielających świadczeń opieki zdrowotnej </w:t>
            </w:r>
            <w:r w:rsidR="00EB761B">
              <w:rPr>
                <w:color w:val="000000"/>
                <w:szCs w:val="20"/>
              </w:rPr>
              <w:br/>
            </w:r>
            <w:r w:rsidRPr="00DA454D">
              <w:rPr>
                <w:color w:val="000000"/>
                <w:szCs w:val="20"/>
              </w:rPr>
              <w:t>w województwie świętokrzyskim objętych projektem. Punkty w kryterium przyznawane będą w następujący sposób:</w:t>
            </w:r>
          </w:p>
          <w:p w:rsidR="00556FD6" w:rsidRDefault="00556FD6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1 pkt - </w:t>
            </w:r>
            <w:r w:rsidR="00554EC4" w:rsidRPr="00DA454D">
              <w:rPr>
                <w:color w:val="000000"/>
                <w:szCs w:val="20"/>
              </w:rPr>
              <w:t>jeden podmiot udzielający świadczeń opieki zdrowotnej w województwie św</w:t>
            </w:r>
            <w:r>
              <w:rPr>
                <w:color w:val="000000"/>
                <w:szCs w:val="20"/>
              </w:rPr>
              <w:t>iętokrzyskim objęty projektem</w:t>
            </w:r>
          </w:p>
          <w:p w:rsidR="005752CA" w:rsidRDefault="005752CA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2 pkt - </w:t>
            </w:r>
            <w:r w:rsidR="00554EC4" w:rsidRPr="00DA454D">
              <w:rPr>
                <w:color w:val="000000"/>
                <w:szCs w:val="20"/>
              </w:rPr>
              <w:t>więcej niż jeden, ale nie więcej niż 5 podmiotów udzielających świadczeń opieki zdrowotnej w województwie świę</w:t>
            </w:r>
            <w:r>
              <w:rPr>
                <w:color w:val="000000"/>
                <w:szCs w:val="20"/>
              </w:rPr>
              <w:t>tokrzyskim objętych projektem</w:t>
            </w:r>
          </w:p>
          <w:p w:rsidR="00863921" w:rsidRPr="00DA454D" w:rsidRDefault="005752CA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3 pkt - </w:t>
            </w:r>
            <w:r w:rsidR="00554EC4" w:rsidRPr="00DA454D">
              <w:rPr>
                <w:color w:val="000000"/>
                <w:szCs w:val="20"/>
              </w:rPr>
              <w:t>więcej niż 5 podmiotów udzielających świadczeń opieki zdrowotnej w województwie świę</w:t>
            </w:r>
            <w:r>
              <w:rPr>
                <w:color w:val="000000"/>
                <w:szCs w:val="20"/>
              </w:rPr>
              <w:t xml:space="preserve">tokrzyskim objętych projektem 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863921" w:rsidRPr="00DA454D" w:rsidRDefault="00BD2899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1 - </w:t>
            </w:r>
            <w:r w:rsidR="005752CA"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863921" w:rsidRPr="00DA454D" w:rsidRDefault="00556FD6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863921" w:rsidRPr="00DA454D" w:rsidRDefault="005752CA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E825A0" w:rsidRPr="002A1E77" w:rsidTr="00EB761B">
        <w:trPr>
          <w:trHeight w:val="1864"/>
        </w:trPr>
        <w:tc>
          <w:tcPr>
            <w:tcW w:w="275" w:type="pct"/>
            <w:shd w:val="clear" w:color="auto" w:fill="auto"/>
            <w:vAlign w:val="center"/>
            <w:hideMark/>
          </w:tcPr>
          <w:p w:rsidR="00863921" w:rsidRPr="002A1E77" w:rsidRDefault="00863921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863921" w:rsidRPr="00DA454D" w:rsidRDefault="00901BA6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Uwzględnienie w projekcie usług A2C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5752CA" w:rsidRDefault="00901BA6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 xml:space="preserve">W ramach kryterium premiowane będą projekty zawierające funkcjonalności w zakresie budowy i rozwoju usług dla pacjentów (usługi A2C), np.: budowę/rozbudowę systemów </w:t>
            </w:r>
            <w:r w:rsidR="00EB761B">
              <w:rPr>
                <w:color w:val="000000"/>
                <w:szCs w:val="20"/>
              </w:rPr>
              <w:br/>
            </w:r>
            <w:r w:rsidRPr="00DA454D">
              <w:rPr>
                <w:color w:val="000000"/>
                <w:szCs w:val="20"/>
              </w:rPr>
              <w:t>e-rejestracji. Punkty przyznawane będą w następujący sposób:</w:t>
            </w:r>
          </w:p>
          <w:p w:rsidR="005752CA" w:rsidRDefault="005752CA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0 pkt - </w:t>
            </w:r>
            <w:r w:rsidR="00901BA6" w:rsidRPr="00DA454D">
              <w:rPr>
                <w:color w:val="000000"/>
                <w:szCs w:val="20"/>
              </w:rPr>
              <w:t>projekt nie przewiduje powyż</w:t>
            </w:r>
            <w:r>
              <w:rPr>
                <w:color w:val="000000"/>
                <w:szCs w:val="20"/>
              </w:rPr>
              <w:t xml:space="preserve">szych funkcjonalności </w:t>
            </w:r>
          </w:p>
          <w:p w:rsidR="005752CA" w:rsidRDefault="005752CA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1 pkt - </w:t>
            </w:r>
            <w:r w:rsidR="00901BA6" w:rsidRPr="00DA454D">
              <w:rPr>
                <w:color w:val="000000"/>
                <w:szCs w:val="20"/>
              </w:rPr>
              <w:t>projekt przewiduje funkcjonalności, które pozwalają na zawarcie transakcji w trybie off-line np. rejestrację of</w:t>
            </w:r>
            <w:r>
              <w:rPr>
                <w:color w:val="000000"/>
                <w:szCs w:val="20"/>
              </w:rPr>
              <w:t>f-line (zgłoszenie-odpowiedź)</w:t>
            </w:r>
          </w:p>
          <w:p w:rsidR="00630981" w:rsidRPr="00DA454D" w:rsidRDefault="005752CA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2 pkt - </w:t>
            </w:r>
            <w:r w:rsidR="00901BA6" w:rsidRPr="00DA454D">
              <w:rPr>
                <w:color w:val="000000"/>
                <w:szCs w:val="20"/>
              </w:rPr>
              <w:t>projekt przewiduje funkcjonalności, które pozwalają na zawarcie transakcji w trybie on-line np. rejestracja on-line (natychmiastowa rejes</w:t>
            </w:r>
            <w:r>
              <w:rPr>
                <w:color w:val="000000"/>
                <w:szCs w:val="20"/>
              </w:rPr>
              <w:t>tracja w czasie jednej sesji)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863921" w:rsidRPr="00DA454D" w:rsidRDefault="00BD2899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0 - </w:t>
            </w:r>
            <w:r w:rsidR="005752CA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863921" w:rsidRPr="00DA454D" w:rsidRDefault="005752CA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863921" w:rsidRPr="00DA454D" w:rsidRDefault="005752CA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</w:tr>
      <w:tr w:rsidR="00901BA6" w:rsidRPr="002A1E77" w:rsidTr="002A2F22">
        <w:trPr>
          <w:trHeight w:val="64"/>
        </w:trPr>
        <w:tc>
          <w:tcPr>
            <w:tcW w:w="275" w:type="pct"/>
            <w:shd w:val="clear" w:color="auto" w:fill="auto"/>
            <w:vAlign w:val="center"/>
            <w:hideMark/>
          </w:tcPr>
          <w:p w:rsidR="00901BA6" w:rsidRPr="002A1E77" w:rsidRDefault="00901BA6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901BA6" w:rsidRPr="00DA454D" w:rsidRDefault="00901BA6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Rozwiązania synergiczne w projekcie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5752CA" w:rsidRDefault="00901BA6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 ramach kryterium premiowane będą projekty przewidujące zastosowanie rozwiązań synergicznych typu grupowe zakupy systemów wsparcia (oprogramowanie, sprzęt, usługi, itp.), czy tworzenie centrów kompetencji, które zapewnią wsparcie m. in. w zakresie budowy architektury systemów informacyjnych, zakupu usług ITS (realizowanych przy pomocy środków / aplikacji teleinformatycznych) i oprogramowania oraz przygotowania OPZ (Opisu Przedmiotu Zamówienia). Punkty przyznawane będą w następujący sposób:</w:t>
            </w:r>
          </w:p>
          <w:p w:rsidR="005752CA" w:rsidRDefault="005752CA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0 pkt - </w:t>
            </w:r>
            <w:r w:rsidR="00901BA6" w:rsidRPr="00DA454D">
              <w:rPr>
                <w:color w:val="000000"/>
                <w:szCs w:val="20"/>
              </w:rPr>
              <w:t>projekt nie przewiduje zastosowania rozwiązań sy</w:t>
            </w:r>
            <w:r>
              <w:rPr>
                <w:color w:val="000000"/>
                <w:szCs w:val="20"/>
              </w:rPr>
              <w:t xml:space="preserve">nergicznych opisanych powyżej </w:t>
            </w:r>
          </w:p>
          <w:p w:rsidR="00901BA6" w:rsidRPr="00DA454D" w:rsidRDefault="005752CA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1 pkt - </w:t>
            </w:r>
            <w:r w:rsidR="00901BA6" w:rsidRPr="00DA454D">
              <w:rPr>
                <w:color w:val="000000"/>
                <w:szCs w:val="20"/>
              </w:rPr>
              <w:t xml:space="preserve">projekt przewiduje zastosowanie rozwiązań synergicznych opisanych powyżej 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901BA6" w:rsidRPr="00DA454D" w:rsidRDefault="00BD2899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0 - </w:t>
            </w:r>
            <w:r w:rsidR="005752CA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1BA6" w:rsidRPr="00DA454D" w:rsidRDefault="005752CA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5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901BA6" w:rsidRPr="00DA454D" w:rsidRDefault="005752CA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5</w:t>
            </w:r>
          </w:p>
        </w:tc>
      </w:tr>
      <w:tr w:rsidR="00901BA6" w:rsidRPr="00216B0A" w:rsidTr="007023E5">
        <w:trPr>
          <w:trHeight w:val="567"/>
        </w:trPr>
        <w:tc>
          <w:tcPr>
            <w:tcW w:w="275" w:type="pct"/>
            <w:shd w:val="clear" w:color="auto" w:fill="auto"/>
            <w:vAlign w:val="center"/>
            <w:hideMark/>
          </w:tcPr>
          <w:p w:rsidR="00901BA6" w:rsidRPr="00216B0A" w:rsidRDefault="00901BA6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16B0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901BA6" w:rsidRPr="00DA454D" w:rsidRDefault="00901BA6" w:rsidP="00EB761B">
            <w:pPr>
              <w:spacing w:line="240" w:lineRule="auto"/>
              <w:rPr>
                <w:b/>
                <w:szCs w:val="20"/>
              </w:rPr>
            </w:pPr>
            <w:r w:rsidRPr="00DA454D">
              <w:rPr>
                <w:b/>
                <w:szCs w:val="20"/>
              </w:rPr>
              <w:t>Możliwość prowadzenia telekonsultacji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BD2899" w:rsidRDefault="00901BA6" w:rsidP="00EB761B">
            <w:pPr>
              <w:spacing w:line="240" w:lineRule="auto"/>
              <w:jc w:val="both"/>
              <w:rPr>
                <w:szCs w:val="20"/>
              </w:rPr>
            </w:pPr>
            <w:r w:rsidRPr="00DA454D">
              <w:rPr>
                <w:szCs w:val="20"/>
              </w:rPr>
              <w:t>Ocenie podlegać będzie stworzenie podmiotom leczniczym udzielającym świadczeń opieki zdrowotnej finansowanych ze środków publicznych (szpitale, AOS i POZ) warunków do podjęcia współpracy związanej z możliwością prowadzeniem telekonsultacji.</w:t>
            </w:r>
          </w:p>
          <w:p w:rsidR="00BD2899" w:rsidRDefault="00901BA6" w:rsidP="00EB761B">
            <w:pPr>
              <w:spacing w:line="240" w:lineRule="auto"/>
              <w:jc w:val="both"/>
              <w:rPr>
                <w:szCs w:val="20"/>
              </w:rPr>
            </w:pPr>
            <w:r w:rsidRPr="00BD2899">
              <w:rPr>
                <w:b/>
                <w:bCs/>
                <w:szCs w:val="20"/>
              </w:rPr>
              <w:t>0 pkt</w:t>
            </w:r>
            <w:r w:rsidRPr="00DA454D">
              <w:rPr>
                <w:szCs w:val="20"/>
              </w:rPr>
              <w:t xml:space="preserve"> – wnioskodawca nie udokumentował, że w wyniku realizacji projektu wystąpi możliwość prowadzenia telekonsultacji (wizja, głos, dane) w standardzie minimum HD i przepustowości łącza umożliwiającą płynną transmisję danych pomiędzy podmiotami leczniczymi</w:t>
            </w:r>
          </w:p>
          <w:p w:rsidR="00901BA6" w:rsidRPr="00DA454D" w:rsidRDefault="00901BA6" w:rsidP="00EB761B">
            <w:pPr>
              <w:spacing w:line="240" w:lineRule="auto"/>
              <w:jc w:val="both"/>
              <w:rPr>
                <w:szCs w:val="20"/>
              </w:rPr>
            </w:pPr>
            <w:r w:rsidRPr="00BD2899">
              <w:rPr>
                <w:b/>
                <w:bCs/>
                <w:szCs w:val="20"/>
              </w:rPr>
              <w:t>1 pkt</w:t>
            </w:r>
            <w:r w:rsidR="00BD2899">
              <w:rPr>
                <w:szCs w:val="20"/>
              </w:rPr>
              <w:t xml:space="preserve"> -</w:t>
            </w:r>
            <w:r w:rsidRPr="00DA454D">
              <w:rPr>
                <w:szCs w:val="20"/>
              </w:rPr>
              <w:t xml:space="preserve"> wnioskodawca udokumentował, że realizacja projektu umożliwi prowadzenia telekonsultacji (wizja, głos, dane) w standardzie minimum HD i przepustowości łącza umożliwiającą płynną transmisję danych) pomiędzy podmiotami leczniczymi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901BA6" w:rsidRPr="00DA454D" w:rsidRDefault="00BD2899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1BA6" w:rsidRPr="00DA454D" w:rsidRDefault="00BD2899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901BA6" w:rsidRPr="00DA454D" w:rsidRDefault="00BD2899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E825A0" w:rsidRPr="001C1676" w:rsidTr="00DA454D">
        <w:trPr>
          <w:trHeight w:val="163"/>
        </w:trPr>
        <w:tc>
          <w:tcPr>
            <w:tcW w:w="275" w:type="pct"/>
            <w:shd w:val="clear" w:color="auto" w:fill="auto"/>
            <w:vAlign w:val="center"/>
            <w:hideMark/>
          </w:tcPr>
          <w:p w:rsidR="00216B0A" w:rsidRPr="001C1676" w:rsidRDefault="00216B0A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1C1676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216B0A" w:rsidRPr="00DA454D" w:rsidRDefault="00D31CD4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Projekt przewiduje architekturę systemu gwarantującą  zachowanie ciągłości działania systemu wnioskodawcy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2802AB" w:rsidRDefault="00D31CD4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 ramach kryterium premiowane będą projekty, które będą posiadać możliwość świadczenia usług w zakresie wytwarzania i udostę</w:t>
            </w:r>
            <w:r w:rsidR="005F4EFC">
              <w:rPr>
                <w:color w:val="000000"/>
                <w:szCs w:val="20"/>
              </w:rPr>
              <w:t>p</w:t>
            </w:r>
            <w:r w:rsidRPr="00DA454D">
              <w:rPr>
                <w:color w:val="000000"/>
                <w:szCs w:val="20"/>
              </w:rPr>
              <w:t>niania EDM w przypadku wystąpienia awarii lub braku zasilania.  Punkty przyznawane będą w następujący sposób:</w:t>
            </w:r>
          </w:p>
          <w:p w:rsidR="002802AB" w:rsidRDefault="002802AB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0 pkt </w:t>
            </w:r>
            <w:r w:rsidRPr="002802AB">
              <w:rPr>
                <w:color w:val="000000"/>
                <w:szCs w:val="20"/>
              </w:rPr>
              <w:t xml:space="preserve">- </w:t>
            </w:r>
            <w:r w:rsidR="00D31CD4" w:rsidRPr="002802AB">
              <w:rPr>
                <w:color w:val="000000"/>
                <w:szCs w:val="20"/>
              </w:rPr>
              <w:t xml:space="preserve"> </w:t>
            </w:r>
            <w:r w:rsidR="00D31CD4" w:rsidRPr="00DA454D">
              <w:rPr>
                <w:color w:val="000000"/>
                <w:szCs w:val="20"/>
              </w:rPr>
              <w:t>projekt nie uwzględnia zachowania ciągłości działania dla przypadku dowolnego pojedyncz</w:t>
            </w:r>
            <w:r>
              <w:rPr>
                <w:color w:val="000000"/>
                <w:szCs w:val="20"/>
              </w:rPr>
              <w:t>ego wystąpienia miejsca awarii</w:t>
            </w:r>
          </w:p>
          <w:p w:rsidR="002802AB" w:rsidRDefault="002802AB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 pkt</w:t>
            </w:r>
            <w:r>
              <w:rPr>
                <w:color w:val="000000"/>
                <w:szCs w:val="20"/>
              </w:rPr>
              <w:t xml:space="preserve"> - </w:t>
            </w:r>
            <w:r w:rsidR="00D31CD4" w:rsidRPr="00DA454D">
              <w:rPr>
                <w:color w:val="000000"/>
                <w:szCs w:val="20"/>
              </w:rPr>
              <w:t xml:space="preserve">projekt uwzględnia zachowania ciągłości działania dla przypadku dowolnego </w:t>
            </w:r>
            <w:r w:rsidR="00D31CD4" w:rsidRPr="00DA454D">
              <w:rPr>
                <w:color w:val="000000"/>
                <w:szCs w:val="20"/>
              </w:rPr>
              <w:lastRenderedPageBreak/>
              <w:t>pojedyncze</w:t>
            </w:r>
            <w:r>
              <w:rPr>
                <w:color w:val="000000"/>
                <w:szCs w:val="20"/>
              </w:rPr>
              <w:t>go wystąpienia miejsca awarii</w:t>
            </w:r>
          </w:p>
          <w:p w:rsidR="00216B0A" w:rsidRPr="00DA454D" w:rsidRDefault="002802AB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 pkt</w:t>
            </w:r>
            <w:r>
              <w:rPr>
                <w:bCs/>
                <w:color w:val="000000"/>
                <w:szCs w:val="20"/>
              </w:rPr>
              <w:t xml:space="preserve"> - </w:t>
            </w:r>
            <w:r w:rsidR="00D31CD4" w:rsidRPr="00DA454D">
              <w:rPr>
                <w:bCs/>
                <w:color w:val="000000"/>
                <w:szCs w:val="20"/>
              </w:rPr>
              <w:t xml:space="preserve"> </w:t>
            </w:r>
            <w:r w:rsidR="00D31CD4" w:rsidRPr="00DA454D">
              <w:rPr>
                <w:color w:val="000000"/>
                <w:szCs w:val="20"/>
              </w:rPr>
              <w:t>projekt uwzględnia zachowania ciągłości działania dla przypadku wyłączenia serwerowni (zapasowa serwerownia)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16B0A" w:rsidRPr="00DA454D" w:rsidRDefault="002802AB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lastRenderedPageBreak/>
              <w:t>0 - 2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216B0A" w:rsidRPr="00DA454D" w:rsidRDefault="002802AB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5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16B0A" w:rsidRPr="00DA454D" w:rsidRDefault="002802AB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10</w:t>
            </w:r>
          </w:p>
        </w:tc>
      </w:tr>
      <w:tr w:rsidR="00E825A0" w:rsidRPr="001C1676" w:rsidTr="002A2F22">
        <w:trPr>
          <w:trHeight w:val="1722"/>
        </w:trPr>
        <w:tc>
          <w:tcPr>
            <w:tcW w:w="275" w:type="pct"/>
            <w:shd w:val="clear" w:color="auto" w:fill="auto"/>
            <w:vAlign w:val="center"/>
            <w:hideMark/>
          </w:tcPr>
          <w:p w:rsidR="00216B0A" w:rsidRPr="001C1676" w:rsidRDefault="00216B0A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1C1676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216B0A" w:rsidRPr="00DA454D" w:rsidRDefault="00A76F01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Poziom dojrzałości e usług objętych projektem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DE2F2C" w:rsidRDefault="00A76F01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Liczba punktów zależy od poziomu (stopnia) dojrzałości, jaki reprezentują e-usługi objęte projektem. Gradację stopni dojrzałości e-usług przytoczono w opisie  kryterium dopuszczającego sektorowego</w:t>
            </w:r>
            <w:r w:rsidR="00D4740E">
              <w:rPr>
                <w:color w:val="000000"/>
                <w:szCs w:val="20"/>
              </w:rPr>
              <w:t xml:space="preserve"> nr 7</w:t>
            </w:r>
            <w:r w:rsidRPr="00DA454D">
              <w:rPr>
                <w:color w:val="000000"/>
                <w:szCs w:val="20"/>
              </w:rPr>
              <w:t xml:space="preserve"> (Czy przynajmniej jedna z usług objętych projektem będzie udostępniona na co najmniej trzecim poziomie e-dojrzałości?), przy czym poziomy 1) </w:t>
            </w:r>
            <w:r w:rsidR="00EB761B">
              <w:rPr>
                <w:color w:val="000000"/>
                <w:szCs w:val="20"/>
              </w:rPr>
              <w:br/>
            </w:r>
            <w:r w:rsidRPr="00DA454D">
              <w:rPr>
                <w:color w:val="000000"/>
                <w:szCs w:val="20"/>
              </w:rPr>
              <w:t>i 2) (poniżej minimum) zgodnie z t</w:t>
            </w:r>
            <w:r w:rsidR="002E2BA1">
              <w:rPr>
                <w:color w:val="000000"/>
                <w:szCs w:val="20"/>
              </w:rPr>
              <w:t>ym kryterium nie są punktowane:</w:t>
            </w:r>
          </w:p>
          <w:p w:rsidR="00DE2F2C" w:rsidRDefault="002E2BA1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 w:rsidRPr="002E2BA1">
              <w:rPr>
                <w:b/>
                <w:color w:val="000000"/>
                <w:szCs w:val="20"/>
              </w:rPr>
              <w:t>1 pkt</w:t>
            </w:r>
            <w:r>
              <w:rPr>
                <w:color w:val="000000"/>
                <w:szCs w:val="20"/>
              </w:rPr>
              <w:t xml:space="preserve"> </w:t>
            </w:r>
            <w:r w:rsidR="00A76F01" w:rsidRPr="00DA454D">
              <w:rPr>
                <w:color w:val="000000"/>
                <w:szCs w:val="20"/>
              </w:rPr>
              <w:t xml:space="preserve">– </w:t>
            </w:r>
            <w:r w:rsidR="000D6E8A">
              <w:rPr>
                <w:color w:val="000000"/>
                <w:szCs w:val="20"/>
              </w:rPr>
              <w:t xml:space="preserve">otrzymuje </w:t>
            </w:r>
            <w:r w:rsidR="00A76F01" w:rsidRPr="00DA454D">
              <w:rPr>
                <w:color w:val="000000"/>
                <w:szCs w:val="20"/>
              </w:rPr>
              <w:t>poziom 3) jako mi</w:t>
            </w:r>
            <w:r>
              <w:rPr>
                <w:color w:val="000000"/>
                <w:szCs w:val="20"/>
              </w:rPr>
              <w:t>nimalny dopuszczalny</w:t>
            </w:r>
          </w:p>
          <w:p w:rsidR="00216B0A" w:rsidRPr="00DA454D" w:rsidRDefault="002E2BA1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 pkt</w:t>
            </w:r>
            <w:r>
              <w:rPr>
                <w:color w:val="000000"/>
                <w:szCs w:val="20"/>
              </w:rPr>
              <w:t xml:space="preserve"> </w:t>
            </w:r>
            <w:r w:rsidR="00A76F01" w:rsidRPr="00DA454D">
              <w:rPr>
                <w:color w:val="000000"/>
                <w:szCs w:val="20"/>
              </w:rPr>
              <w:t xml:space="preserve">– </w:t>
            </w:r>
            <w:r w:rsidR="000D6E8A">
              <w:rPr>
                <w:color w:val="000000"/>
                <w:szCs w:val="20"/>
              </w:rPr>
              <w:t xml:space="preserve">otrzymują </w:t>
            </w:r>
            <w:r w:rsidR="00A76F01" w:rsidRPr="00DA454D">
              <w:rPr>
                <w:color w:val="000000"/>
                <w:szCs w:val="20"/>
              </w:rPr>
              <w:t>poziomy powyżej minimum (tj. 4) i 5)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16B0A" w:rsidRPr="00DA454D" w:rsidRDefault="00DE2F2C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1 - 2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216B0A" w:rsidRPr="00DA454D" w:rsidRDefault="00DE2F2C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16B0A" w:rsidRPr="00DA454D" w:rsidRDefault="00DE2F2C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12</w:t>
            </w:r>
          </w:p>
        </w:tc>
      </w:tr>
      <w:tr w:rsidR="00E825A0" w:rsidRPr="00C823FD" w:rsidTr="00EB761B">
        <w:trPr>
          <w:trHeight w:val="446"/>
        </w:trPr>
        <w:tc>
          <w:tcPr>
            <w:tcW w:w="275" w:type="pct"/>
            <w:shd w:val="clear" w:color="auto" w:fill="auto"/>
            <w:vAlign w:val="center"/>
            <w:hideMark/>
          </w:tcPr>
          <w:p w:rsidR="00FE1B1D" w:rsidRPr="00C823FD" w:rsidRDefault="00FE1B1D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7</w:t>
            </w: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FE1B1D" w:rsidRPr="00DA454D" w:rsidRDefault="000A5AC0" w:rsidP="00EB761B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DA454D">
              <w:rPr>
                <w:rFonts w:eastAsia="Times New Roman"/>
                <w:b/>
                <w:bCs/>
                <w:szCs w:val="20"/>
                <w:lang w:eastAsia="pl-PL"/>
              </w:rPr>
              <w:t>Zastosowanie rozwiązań gwarantujących i podnoszących bezpieczeństwo w zakresie ciągłości działania systemów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AF4C44" w:rsidRDefault="000A5AC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 celu oceny kryterium badana będzie dostępność usług (niezawodność systemu) jako miernik jakości zastosowanych rozwiązań. Pojęcie dostępności oznacza czas świadczenia usługi w stosunku do całości czasu, w którym usługa ta powinna być kl</w:t>
            </w:r>
            <w:r w:rsidR="00AF4C44">
              <w:rPr>
                <w:color w:val="000000"/>
                <w:szCs w:val="20"/>
              </w:rPr>
              <w:t>ientom świadczona w skali roku.</w:t>
            </w:r>
          </w:p>
          <w:p w:rsidR="004F3342" w:rsidRDefault="000A5AC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Przyjęto punktację w oparciu o klasy dostępności systemów informatycznych (typ systemu; pułap czasu niedostępności w roku; dostępność; klasa dostępności):</w:t>
            </w:r>
          </w:p>
          <w:p w:rsidR="004F3342" w:rsidRPr="004F3342" w:rsidRDefault="004F3342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0 pkt</w:t>
            </w:r>
            <w:r>
              <w:rPr>
                <w:color w:val="000000"/>
                <w:szCs w:val="20"/>
              </w:rPr>
              <w:t xml:space="preserve"> </w:t>
            </w:r>
            <w:r w:rsidR="0058346C">
              <w:rPr>
                <w:color w:val="000000"/>
                <w:szCs w:val="20"/>
              </w:rPr>
              <w:t>–</w:t>
            </w:r>
            <w:r>
              <w:rPr>
                <w:color w:val="000000"/>
                <w:szCs w:val="20"/>
              </w:rPr>
              <w:t xml:space="preserve"> </w:t>
            </w:r>
            <w:r w:rsidR="0058346C">
              <w:rPr>
                <w:color w:val="000000"/>
                <w:szCs w:val="20"/>
              </w:rPr>
              <w:t xml:space="preserve">otrzymuje </w:t>
            </w:r>
            <w:r w:rsidRPr="00DA454D">
              <w:rPr>
                <w:color w:val="000000"/>
                <w:szCs w:val="20"/>
              </w:rPr>
              <w:t>projekt, w którym dostępność jest niższa od określonej dla klasy dostępności 2</w:t>
            </w:r>
          </w:p>
          <w:p w:rsidR="004F3342" w:rsidRDefault="004F3342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 pkt</w:t>
            </w:r>
            <w:r>
              <w:rPr>
                <w:color w:val="000000"/>
                <w:szCs w:val="20"/>
              </w:rPr>
              <w:t xml:space="preserve"> </w:t>
            </w:r>
            <w:r w:rsidR="00C27A45">
              <w:rPr>
                <w:color w:val="000000"/>
                <w:szCs w:val="20"/>
              </w:rPr>
              <w:t>–</w:t>
            </w:r>
            <w:r>
              <w:rPr>
                <w:color w:val="000000"/>
                <w:szCs w:val="20"/>
              </w:rPr>
              <w:t xml:space="preserve"> </w:t>
            </w:r>
            <w:r w:rsidR="00C27A45">
              <w:rPr>
                <w:color w:val="000000"/>
                <w:szCs w:val="20"/>
              </w:rPr>
              <w:t xml:space="preserve">gdy: </w:t>
            </w:r>
            <w:r w:rsidR="000A5AC0" w:rsidRPr="00DA454D">
              <w:rPr>
                <w:color w:val="000000"/>
                <w:szCs w:val="20"/>
              </w:rPr>
              <w:t>Kierowane; 500</w:t>
            </w:r>
            <w:r>
              <w:rPr>
                <w:color w:val="000000"/>
                <w:szCs w:val="20"/>
              </w:rPr>
              <w:t>0 min (3 d 11 h 20 min); 99%, 2</w:t>
            </w:r>
          </w:p>
          <w:p w:rsidR="004F3342" w:rsidRDefault="004F3342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 pkt</w:t>
            </w:r>
            <w:r>
              <w:rPr>
                <w:color w:val="000000"/>
                <w:szCs w:val="20"/>
              </w:rPr>
              <w:t xml:space="preserve">- </w:t>
            </w:r>
            <w:r w:rsidR="00C27A45">
              <w:rPr>
                <w:color w:val="000000"/>
                <w:szCs w:val="20"/>
              </w:rPr>
              <w:t xml:space="preserve">gdy: </w:t>
            </w:r>
            <w:r w:rsidR="000A5AC0" w:rsidRPr="00DA454D">
              <w:rPr>
                <w:color w:val="000000"/>
                <w:szCs w:val="20"/>
              </w:rPr>
              <w:t>Dobrze kierowane; 500 min (8 h 20 min); 99,9%; 3</w:t>
            </w:r>
          </w:p>
          <w:p w:rsidR="004F3342" w:rsidRDefault="004F3342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 pkt</w:t>
            </w:r>
            <w:r>
              <w:rPr>
                <w:color w:val="000000"/>
                <w:szCs w:val="20"/>
              </w:rPr>
              <w:t xml:space="preserve"> </w:t>
            </w:r>
            <w:r w:rsidR="00C27A45">
              <w:rPr>
                <w:color w:val="000000"/>
                <w:szCs w:val="20"/>
              </w:rPr>
              <w:t>–</w:t>
            </w:r>
            <w:r>
              <w:rPr>
                <w:color w:val="000000"/>
                <w:szCs w:val="20"/>
              </w:rPr>
              <w:t xml:space="preserve"> </w:t>
            </w:r>
            <w:r w:rsidR="00C27A45">
              <w:rPr>
                <w:color w:val="000000"/>
                <w:szCs w:val="20"/>
              </w:rPr>
              <w:t xml:space="preserve">gdy: </w:t>
            </w:r>
            <w:r w:rsidR="000A5AC0" w:rsidRPr="00DA454D">
              <w:rPr>
                <w:color w:val="000000"/>
                <w:szCs w:val="20"/>
              </w:rPr>
              <w:t>Odporne na błędy; 50 min lub krócej</w:t>
            </w:r>
            <w:r w:rsidR="00BD686D">
              <w:rPr>
                <w:color w:val="000000"/>
                <w:szCs w:val="20"/>
              </w:rPr>
              <w:t>;</w:t>
            </w:r>
            <w:r w:rsidR="000A5AC0" w:rsidRPr="00DA454D">
              <w:rPr>
                <w:color w:val="000000"/>
                <w:szCs w:val="20"/>
              </w:rPr>
              <w:t xml:space="preserve"> 99,99%; 4</w:t>
            </w:r>
          </w:p>
          <w:p w:rsidR="00FE1B1D" w:rsidRPr="00DA454D" w:rsidRDefault="000A5AC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 przypadku projektów złożonych o punktacji przesądza element systemu obsługujący procesy krytyczne.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E1B1D" w:rsidRPr="00DA454D" w:rsidRDefault="004F3342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E1B1D" w:rsidRPr="00DA454D" w:rsidRDefault="002E2BA1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FE1B1D" w:rsidRPr="00DA454D" w:rsidRDefault="004F3342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E825A0" w:rsidRPr="00881AF2" w:rsidTr="0058346C">
        <w:trPr>
          <w:trHeight w:val="60"/>
        </w:trPr>
        <w:tc>
          <w:tcPr>
            <w:tcW w:w="275" w:type="pct"/>
            <w:shd w:val="clear" w:color="auto" w:fill="auto"/>
            <w:vAlign w:val="center"/>
            <w:hideMark/>
          </w:tcPr>
          <w:p w:rsidR="003C2FF8" w:rsidRPr="00881AF2" w:rsidRDefault="003C2FF8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3C2FF8" w:rsidRPr="00DA454D" w:rsidRDefault="000A5AC0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Zasięg i oddziaływanie projektu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202A80" w:rsidRDefault="000A5AC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Wnioskodawca ma wykazać, że przynajmniej jedna z usług objętych projektem, bądź rozwiązań wdrażanych przez ten projekt lub odpowiedni zakres przetwarzanych danych będzie skierowana do licznej grupy odbiorców oraz istnieje duże prawdopodobieństwo, że będzie wykorzystywana przez znaczny</w:t>
            </w:r>
            <w:r w:rsidR="002B0DA7">
              <w:rPr>
                <w:color w:val="000000"/>
                <w:szCs w:val="20"/>
              </w:rPr>
              <w:t xml:space="preserve"> odsetek danej grupy odbiorców.</w:t>
            </w:r>
            <w:r w:rsidR="007E38E0">
              <w:rPr>
                <w:color w:val="000000"/>
                <w:szCs w:val="20"/>
              </w:rPr>
              <w:t xml:space="preserve"> Projekt otrzymuje:</w:t>
            </w:r>
          </w:p>
          <w:p w:rsidR="00202A80" w:rsidRDefault="00202A8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 pkt</w:t>
            </w:r>
            <w:r>
              <w:rPr>
                <w:color w:val="000000"/>
                <w:szCs w:val="20"/>
              </w:rPr>
              <w:t xml:space="preserve"> - </w:t>
            </w:r>
            <w:r w:rsidR="007E38E0">
              <w:rPr>
                <w:color w:val="000000"/>
                <w:szCs w:val="20"/>
              </w:rPr>
              <w:t>g</w:t>
            </w:r>
            <w:r w:rsidR="007E38E0" w:rsidRPr="00DA454D">
              <w:rPr>
                <w:color w:val="000000"/>
                <w:szCs w:val="20"/>
              </w:rPr>
              <w:t xml:space="preserve">dy ww. warunki spełnia </w:t>
            </w:r>
            <w:r w:rsidR="000A5AC0" w:rsidRPr="00DA454D">
              <w:rPr>
                <w:color w:val="000000"/>
                <w:szCs w:val="20"/>
              </w:rPr>
              <w:t>jedna z usług realizo</w:t>
            </w:r>
            <w:r w:rsidR="0058346C">
              <w:rPr>
                <w:color w:val="000000"/>
                <w:szCs w:val="20"/>
              </w:rPr>
              <w:t>wana przez produkty projektu</w:t>
            </w:r>
          </w:p>
          <w:p w:rsidR="00BF3781" w:rsidRDefault="00BF3781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 pkt</w:t>
            </w:r>
            <w:r w:rsidR="00202A80">
              <w:rPr>
                <w:color w:val="000000"/>
                <w:szCs w:val="20"/>
              </w:rPr>
              <w:t xml:space="preserve"> - </w:t>
            </w:r>
            <w:r w:rsidR="007E38E0">
              <w:rPr>
                <w:color w:val="000000"/>
                <w:szCs w:val="20"/>
              </w:rPr>
              <w:t>g</w:t>
            </w:r>
            <w:r w:rsidR="007E38E0" w:rsidRPr="00DA454D">
              <w:rPr>
                <w:color w:val="000000"/>
                <w:szCs w:val="20"/>
              </w:rPr>
              <w:t>dy ww. warunki spełnia</w:t>
            </w:r>
            <w:r w:rsidR="007E38E0">
              <w:rPr>
                <w:color w:val="000000"/>
                <w:szCs w:val="20"/>
              </w:rPr>
              <w:t xml:space="preserve"> </w:t>
            </w:r>
            <w:r w:rsidR="0058346C">
              <w:rPr>
                <w:color w:val="000000"/>
                <w:szCs w:val="20"/>
              </w:rPr>
              <w:t>dwie z usług objętych projektem</w:t>
            </w:r>
          </w:p>
          <w:p w:rsidR="003C2FF8" w:rsidRPr="00DA454D" w:rsidRDefault="00BF3781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 pkt</w:t>
            </w:r>
            <w:r>
              <w:rPr>
                <w:color w:val="000000"/>
                <w:szCs w:val="20"/>
              </w:rPr>
              <w:t xml:space="preserve"> - </w:t>
            </w:r>
            <w:r w:rsidR="007E38E0">
              <w:rPr>
                <w:color w:val="000000"/>
                <w:szCs w:val="20"/>
              </w:rPr>
              <w:t>g</w:t>
            </w:r>
            <w:r w:rsidR="007E38E0" w:rsidRPr="00DA454D">
              <w:rPr>
                <w:color w:val="000000"/>
                <w:szCs w:val="20"/>
              </w:rPr>
              <w:t xml:space="preserve">dy ww. warunki spełnia </w:t>
            </w:r>
            <w:r w:rsidR="000A5AC0" w:rsidRPr="00DA454D">
              <w:rPr>
                <w:color w:val="000000"/>
                <w:szCs w:val="20"/>
              </w:rPr>
              <w:t>trzy i więcej z usług objętych projektem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3C2FF8" w:rsidRPr="00DA454D" w:rsidRDefault="00202A80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1 - 3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C2FF8" w:rsidRPr="00DA454D" w:rsidRDefault="002E2BA1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C2FF8" w:rsidRPr="00DA454D" w:rsidRDefault="00202A80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E825A0" w:rsidRPr="00881AF2" w:rsidTr="008E1076">
        <w:trPr>
          <w:trHeight w:val="567"/>
        </w:trPr>
        <w:tc>
          <w:tcPr>
            <w:tcW w:w="275" w:type="pct"/>
            <w:shd w:val="clear" w:color="auto" w:fill="auto"/>
            <w:vAlign w:val="center"/>
            <w:hideMark/>
          </w:tcPr>
          <w:p w:rsidR="003C2FF8" w:rsidRPr="00881AF2" w:rsidRDefault="003C2FF8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3C2FF8" w:rsidRPr="00DA454D" w:rsidRDefault="000A5AC0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Kontynuacja rozpoczętych przedsięwzięć oraz preferencja istniejącej bazy technicznej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4503A3" w:rsidRDefault="000A5AC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Kryterium preferuje synergię związaną z kontynuacją rozpoczętych przedsięwzięć</w:t>
            </w:r>
            <w:r w:rsidR="00F87197">
              <w:rPr>
                <w:color w:val="000000"/>
                <w:szCs w:val="20"/>
              </w:rPr>
              <w:t xml:space="preserve"> </w:t>
            </w:r>
            <w:r w:rsidR="0018086E">
              <w:rPr>
                <w:color w:val="000000"/>
                <w:szCs w:val="20"/>
              </w:rPr>
              <w:t>(</w:t>
            </w:r>
            <w:r w:rsidRPr="00DA454D">
              <w:rPr>
                <w:color w:val="000000"/>
                <w:szCs w:val="20"/>
              </w:rPr>
              <w:t>m. in. projekty komplementarne w odniesieniu do inwestycji realizowanych w ramach poprzedniego okresu programowania 2007-2013</w:t>
            </w:r>
            <w:r w:rsidR="0018086E">
              <w:rPr>
                <w:color w:val="000000"/>
                <w:szCs w:val="20"/>
              </w:rPr>
              <w:t>)</w:t>
            </w:r>
            <w:r w:rsidRPr="00DA454D">
              <w:rPr>
                <w:color w:val="000000"/>
                <w:szCs w:val="20"/>
              </w:rPr>
              <w:t xml:space="preserve"> i osiągnięcie wyodrębnionych merytorycznie, wymiernych efektów na obecnym etapie projektu w dziedzinach, gdzie budowę infrastruktury już rozpoczęto wcześniej. Podejście takie gwarantuje jednocześnie zgodność z krajowymi preferencjami itp. Punktowane będą projekty, które dopełniają przedsięwzięcia rozpoczęte</w:t>
            </w:r>
            <w:r w:rsidR="004503A3">
              <w:rPr>
                <w:color w:val="000000"/>
                <w:szCs w:val="20"/>
              </w:rPr>
              <w:t>.</w:t>
            </w:r>
          </w:p>
          <w:p w:rsidR="00652FA7" w:rsidRDefault="00F925F6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Projekt otrzymuje:</w:t>
            </w:r>
          </w:p>
          <w:p w:rsidR="00652FA7" w:rsidRDefault="00652FA7" w:rsidP="00EB761B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0 pkt</w:t>
            </w:r>
            <w:r>
              <w:rPr>
                <w:color w:val="000000"/>
                <w:szCs w:val="20"/>
              </w:rPr>
              <w:t xml:space="preserve"> - </w:t>
            </w:r>
            <w:r w:rsidR="00600E19">
              <w:rPr>
                <w:color w:val="000000"/>
                <w:szCs w:val="20"/>
              </w:rPr>
              <w:t>gdy</w:t>
            </w:r>
            <w:r w:rsidRPr="00652FA7">
              <w:rPr>
                <w:color w:val="000000"/>
                <w:szCs w:val="20"/>
              </w:rPr>
              <w:t xml:space="preserve"> Wnioskodawca nie wyka</w:t>
            </w:r>
            <w:r w:rsidR="00F87197">
              <w:rPr>
                <w:color w:val="000000"/>
                <w:szCs w:val="20"/>
              </w:rPr>
              <w:t>zał</w:t>
            </w:r>
            <w:r w:rsidRPr="00652FA7">
              <w:rPr>
                <w:color w:val="000000"/>
                <w:szCs w:val="20"/>
              </w:rPr>
              <w:t xml:space="preserve">, że </w:t>
            </w:r>
            <w:r w:rsidR="009B7D1F">
              <w:rPr>
                <w:color w:val="000000"/>
                <w:szCs w:val="20"/>
              </w:rPr>
              <w:t xml:space="preserve">projekt </w:t>
            </w:r>
            <w:r w:rsidRPr="00652FA7">
              <w:rPr>
                <w:color w:val="000000"/>
                <w:szCs w:val="20"/>
              </w:rPr>
              <w:t xml:space="preserve">jest komplementarny z inwestycjami </w:t>
            </w:r>
            <w:r w:rsidR="00A95986">
              <w:rPr>
                <w:color w:val="000000"/>
                <w:szCs w:val="20"/>
              </w:rPr>
              <w:t xml:space="preserve">realizowanymi </w:t>
            </w:r>
            <w:r w:rsidRPr="00652FA7">
              <w:rPr>
                <w:color w:val="000000"/>
                <w:szCs w:val="20"/>
              </w:rPr>
              <w:t>na szczeblu centralnym i / l</w:t>
            </w:r>
            <w:r>
              <w:rPr>
                <w:color w:val="000000"/>
                <w:szCs w:val="20"/>
              </w:rPr>
              <w:t>ub lokalnym</w:t>
            </w:r>
          </w:p>
          <w:p w:rsidR="00652FA7" w:rsidRPr="00652FA7" w:rsidRDefault="00652FA7" w:rsidP="00EB761B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 pkt</w:t>
            </w:r>
            <w:r>
              <w:rPr>
                <w:color w:val="000000"/>
                <w:szCs w:val="20"/>
              </w:rPr>
              <w:t xml:space="preserve"> - </w:t>
            </w:r>
            <w:r w:rsidR="00600E19">
              <w:rPr>
                <w:color w:val="000000"/>
                <w:szCs w:val="20"/>
              </w:rPr>
              <w:t>gdy</w:t>
            </w:r>
            <w:r w:rsidRPr="00652FA7">
              <w:rPr>
                <w:color w:val="000000"/>
                <w:szCs w:val="20"/>
              </w:rPr>
              <w:t xml:space="preserve"> Wnioskodawca wyka</w:t>
            </w:r>
            <w:r w:rsidR="00F87197">
              <w:rPr>
                <w:color w:val="000000"/>
                <w:szCs w:val="20"/>
              </w:rPr>
              <w:t>zał</w:t>
            </w:r>
            <w:r w:rsidRPr="00652FA7">
              <w:rPr>
                <w:color w:val="000000"/>
                <w:szCs w:val="20"/>
              </w:rPr>
              <w:t xml:space="preserve">, że </w:t>
            </w:r>
            <w:r w:rsidR="009B7D1F">
              <w:rPr>
                <w:color w:val="000000"/>
                <w:szCs w:val="20"/>
              </w:rPr>
              <w:t xml:space="preserve">projekt </w:t>
            </w:r>
            <w:r w:rsidRPr="00652FA7">
              <w:rPr>
                <w:color w:val="000000"/>
                <w:szCs w:val="20"/>
              </w:rPr>
              <w:t xml:space="preserve">jest komplementarny z inwestycjami realizowanymi na </w:t>
            </w:r>
            <w:r>
              <w:rPr>
                <w:color w:val="000000"/>
                <w:szCs w:val="20"/>
              </w:rPr>
              <w:t>szczeblu centralnym</w:t>
            </w:r>
          </w:p>
          <w:p w:rsidR="00652FA7" w:rsidRDefault="00652FA7" w:rsidP="00EB761B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 pkt</w:t>
            </w:r>
            <w:r>
              <w:rPr>
                <w:color w:val="000000"/>
                <w:szCs w:val="20"/>
              </w:rPr>
              <w:t xml:space="preserve"> - </w:t>
            </w:r>
            <w:r w:rsidR="00600E19">
              <w:rPr>
                <w:color w:val="000000"/>
                <w:szCs w:val="20"/>
              </w:rPr>
              <w:t>gdy</w:t>
            </w:r>
            <w:r w:rsidRPr="00652FA7">
              <w:rPr>
                <w:color w:val="000000"/>
                <w:szCs w:val="20"/>
              </w:rPr>
              <w:t xml:space="preserve"> Wnioskodawca wyka</w:t>
            </w:r>
            <w:r w:rsidR="00F87197">
              <w:rPr>
                <w:color w:val="000000"/>
                <w:szCs w:val="20"/>
              </w:rPr>
              <w:t>zał</w:t>
            </w:r>
            <w:r w:rsidRPr="00652FA7">
              <w:rPr>
                <w:color w:val="000000"/>
                <w:szCs w:val="20"/>
              </w:rPr>
              <w:t xml:space="preserve">, że </w:t>
            </w:r>
            <w:r w:rsidR="009B7D1F">
              <w:rPr>
                <w:color w:val="000000"/>
                <w:szCs w:val="20"/>
              </w:rPr>
              <w:t xml:space="preserve">projekt </w:t>
            </w:r>
            <w:r w:rsidRPr="00652FA7">
              <w:rPr>
                <w:color w:val="000000"/>
                <w:szCs w:val="20"/>
              </w:rPr>
              <w:t xml:space="preserve">jest komplementarny z inwestycjami realizowanymi </w:t>
            </w:r>
            <w:r w:rsidR="000A5AC0" w:rsidRPr="00652FA7">
              <w:rPr>
                <w:color w:val="000000"/>
                <w:szCs w:val="20"/>
              </w:rPr>
              <w:t>zarówno na s</w:t>
            </w:r>
            <w:r>
              <w:rPr>
                <w:color w:val="000000"/>
                <w:szCs w:val="20"/>
              </w:rPr>
              <w:t>zczeblu centralnym i lokalnym</w:t>
            </w:r>
          </w:p>
          <w:p w:rsidR="00B41448" w:rsidRPr="00652FA7" w:rsidRDefault="00652FA7" w:rsidP="00EB761B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 pkt</w:t>
            </w:r>
            <w:r>
              <w:rPr>
                <w:color w:val="000000"/>
                <w:szCs w:val="20"/>
              </w:rPr>
              <w:t xml:space="preserve"> - </w:t>
            </w:r>
            <w:r w:rsidR="00600E19">
              <w:rPr>
                <w:color w:val="000000"/>
                <w:szCs w:val="20"/>
              </w:rPr>
              <w:t>gdy</w:t>
            </w:r>
            <w:r w:rsidR="00F87197" w:rsidRPr="00652FA7">
              <w:rPr>
                <w:color w:val="000000"/>
                <w:szCs w:val="20"/>
              </w:rPr>
              <w:t xml:space="preserve"> Wnioskodawca wyka</w:t>
            </w:r>
            <w:r w:rsidR="00F87197">
              <w:rPr>
                <w:color w:val="000000"/>
                <w:szCs w:val="20"/>
              </w:rPr>
              <w:t>zał</w:t>
            </w:r>
            <w:r w:rsidR="00F87197" w:rsidRPr="00652FA7">
              <w:rPr>
                <w:color w:val="000000"/>
                <w:szCs w:val="20"/>
              </w:rPr>
              <w:t xml:space="preserve">, że </w:t>
            </w:r>
            <w:r w:rsidR="009B7D1F">
              <w:rPr>
                <w:color w:val="000000"/>
                <w:szCs w:val="20"/>
              </w:rPr>
              <w:t xml:space="preserve">projekt </w:t>
            </w:r>
            <w:r w:rsidR="00F87197" w:rsidRPr="00652FA7">
              <w:rPr>
                <w:color w:val="000000"/>
                <w:szCs w:val="20"/>
              </w:rPr>
              <w:t xml:space="preserve">jest komplementarny z inwestycjami realizowanymi </w:t>
            </w:r>
            <w:r w:rsidR="000A5AC0" w:rsidRPr="00652FA7">
              <w:rPr>
                <w:color w:val="000000"/>
                <w:szCs w:val="20"/>
              </w:rPr>
              <w:t>na szczeblu centralnym, lokalnym, a projekt pozwoli osiągnąć wyodrębniony merytorycznie, wymierny efekt docelowy na obecnym etapie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3C2FF8" w:rsidRPr="00DA454D" w:rsidRDefault="00652FA7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C2FF8" w:rsidRPr="00DA454D" w:rsidRDefault="00652FA7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C2FF8" w:rsidRPr="00DA454D" w:rsidRDefault="0054256D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</w:tr>
      <w:tr w:rsidR="00DC1DC1" w:rsidRPr="00C823FD" w:rsidTr="00EB761B">
        <w:trPr>
          <w:trHeight w:val="264"/>
        </w:trPr>
        <w:tc>
          <w:tcPr>
            <w:tcW w:w="4579" w:type="pct"/>
            <w:gridSpan w:val="5"/>
            <w:shd w:val="clear" w:color="auto" w:fill="auto"/>
            <w:vAlign w:val="center"/>
          </w:tcPr>
          <w:p w:rsidR="00DC1DC1" w:rsidRPr="00EB761B" w:rsidRDefault="00DC1DC1" w:rsidP="00EB761B">
            <w:pPr>
              <w:spacing w:line="240" w:lineRule="auto"/>
              <w:ind w:firstLineChars="100" w:firstLine="241"/>
              <w:jc w:val="right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EB761B">
              <w:rPr>
                <w:rFonts w:eastAsia="Times New Roman"/>
                <w:b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C1DC1" w:rsidRPr="00EB761B" w:rsidRDefault="006E4D49" w:rsidP="00EB761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EB761B">
              <w:rPr>
                <w:rFonts w:eastAsia="Times New Roman"/>
                <w:b/>
                <w:sz w:val="24"/>
                <w:szCs w:val="24"/>
                <w:lang w:eastAsia="pl-PL"/>
              </w:rPr>
              <w:t>68</w:t>
            </w:r>
          </w:p>
        </w:tc>
      </w:tr>
    </w:tbl>
    <w:p w:rsidR="00AF45AC" w:rsidRPr="00652FA7" w:rsidRDefault="00AF45AC" w:rsidP="00652FA7">
      <w:pPr>
        <w:spacing w:line="240" w:lineRule="auto"/>
        <w:jc w:val="both"/>
        <w:rPr>
          <w:bCs/>
          <w:szCs w:val="20"/>
        </w:rPr>
      </w:pPr>
    </w:p>
    <w:p w:rsidR="0059241C" w:rsidRPr="00C823FD" w:rsidRDefault="0059241C" w:rsidP="0059241C">
      <w:pPr>
        <w:spacing w:line="240" w:lineRule="auto"/>
        <w:jc w:val="center"/>
        <w:rPr>
          <w:b/>
          <w:bCs/>
          <w:sz w:val="28"/>
          <w:szCs w:val="28"/>
        </w:rPr>
      </w:pPr>
      <w:r w:rsidRPr="00C823FD">
        <w:rPr>
          <w:b/>
          <w:bCs/>
          <w:sz w:val="28"/>
          <w:szCs w:val="28"/>
        </w:rPr>
        <w:t>KRYTERIA ROZSTRZYGAJĄCE</w:t>
      </w: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</w:p>
    <w:p w:rsidR="0059241C" w:rsidRPr="00D067DD" w:rsidRDefault="0059241C" w:rsidP="00652FA7">
      <w:pPr>
        <w:pStyle w:val="Akapitzlist"/>
        <w:spacing w:after="120" w:line="240" w:lineRule="auto"/>
        <w:ind w:left="0"/>
        <w:contextualSpacing w:val="0"/>
        <w:jc w:val="both"/>
        <w:rPr>
          <w:b/>
        </w:rPr>
      </w:pPr>
      <w:r w:rsidRPr="00C823FD"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</w:t>
      </w:r>
      <w:r w:rsidRPr="00D067DD">
        <w:t xml:space="preserve">w </w:t>
      </w:r>
      <w:r w:rsidRPr="00D067DD">
        <w:rPr>
          <w:b/>
        </w:rPr>
        <w:t xml:space="preserve">kryterium nr </w:t>
      </w:r>
      <w:r w:rsidR="00C35ACB" w:rsidRPr="00D067DD">
        <w:rPr>
          <w:b/>
        </w:rPr>
        <w:t>1</w:t>
      </w:r>
      <w:r w:rsidRPr="00D067DD">
        <w:t xml:space="preserve"> decyduje liczba punktów uzyskana w </w:t>
      </w:r>
      <w:r w:rsidRPr="00D067DD">
        <w:rPr>
          <w:b/>
        </w:rPr>
        <w:t xml:space="preserve">kryterium nr </w:t>
      </w:r>
      <w:r w:rsidR="00D067DD" w:rsidRPr="00D067DD">
        <w:rPr>
          <w:b/>
        </w:rPr>
        <w:t>7</w:t>
      </w:r>
      <w:r w:rsidR="00D067DD">
        <w:rPr>
          <w:b/>
        </w:rPr>
        <w:t>.</w:t>
      </w:r>
      <w:r w:rsidR="00D067DD">
        <w:rPr>
          <w:b/>
        </w:rPr>
        <w:br/>
      </w:r>
      <w:r w:rsidR="00106E12" w:rsidRPr="00D067DD">
        <w:t xml:space="preserve">W przypadku jednakowej liczby punktów uzyskanych w kryterium numer 1 i </w:t>
      </w:r>
      <w:r w:rsidR="00EC7E8A">
        <w:t>7</w:t>
      </w:r>
      <w:r w:rsidR="00106E12" w:rsidRPr="00D067DD">
        <w:t xml:space="preserve"> decyduje liczba punktów uzyskana w </w:t>
      </w:r>
      <w:r w:rsidR="00106E12" w:rsidRPr="00D067DD">
        <w:rPr>
          <w:b/>
        </w:rPr>
        <w:t xml:space="preserve">kryterium nr </w:t>
      </w:r>
      <w:r w:rsidR="00D067DD" w:rsidRPr="00D067DD">
        <w:rPr>
          <w:b/>
        </w:rPr>
        <w:t>8</w:t>
      </w:r>
      <w:r w:rsidR="00C35ACB" w:rsidRPr="00D067DD">
        <w:rPr>
          <w:b/>
        </w:rPr>
        <w:t>.</w:t>
      </w:r>
    </w:p>
    <w:p w:rsidR="0059241C" w:rsidRPr="00C35ACB" w:rsidRDefault="003F3DA3" w:rsidP="00134A85">
      <w:pPr>
        <w:pStyle w:val="Akapitzlist"/>
        <w:keepNext/>
        <w:spacing w:line="240" w:lineRule="auto"/>
        <w:jc w:val="both"/>
        <w:rPr>
          <w:bCs/>
        </w:rPr>
      </w:pPr>
      <w:r w:rsidRPr="00C35ACB">
        <w:rPr>
          <w:bCs/>
        </w:rPr>
        <w:t xml:space="preserve">Kryterium nr </w:t>
      </w:r>
      <w:r w:rsidR="00C35ACB" w:rsidRPr="00C35ACB">
        <w:rPr>
          <w:bCs/>
        </w:rPr>
        <w:t>1</w:t>
      </w:r>
      <w:r w:rsidR="00652FA7" w:rsidRPr="00C35ACB">
        <w:rPr>
          <w:bCs/>
        </w:rPr>
        <w:t xml:space="preserve"> – </w:t>
      </w:r>
      <w:r w:rsidR="00C35ACB">
        <w:rPr>
          <w:bCs/>
        </w:rPr>
        <w:t>Liczba podmiotów udzielających świadczeń opieki zdrowotnej objętych projektem</w:t>
      </w:r>
    </w:p>
    <w:p w:rsidR="0059241C" w:rsidRPr="00D067DD" w:rsidRDefault="003F3DA3" w:rsidP="00561129">
      <w:pPr>
        <w:pStyle w:val="Akapitzlist"/>
        <w:spacing w:line="240" w:lineRule="auto"/>
        <w:jc w:val="both"/>
        <w:rPr>
          <w:bCs/>
        </w:rPr>
      </w:pPr>
      <w:r w:rsidRPr="00C35ACB">
        <w:rPr>
          <w:bCs/>
        </w:rPr>
        <w:t xml:space="preserve">Kryterium nr </w:t>
      </w:r>
      <w:r w:rsidR="00D067DD">
        <w:rPr>
          <w:bCs/>
        </w:rPr>
        <w:t>7</w:t>
      </w:r>
      <w:r w:rsidR="0099076B" w:rsidRPr="00C35ACB">
        <w:rPr>
          <w:bCs/>
        </w:rPr>
        <w:t xml:space="preserve"> </w:t>
      </w:r>
      <w:r w:rsidR="0099076B" w:rsidRPr="00D067DD">
        <w:rPr>
          <w:bCs/>
        </w:rPr>
        <w:t xml:space="preserve">– </w:t>
      </w:r>
      <w:r w:rsidR="00D067DD" w:rsidRPr="00D067DD">
        <w:rPr>
          <w:rFonts w:eastAsia="Times New Roman"/>
          <w:bCs/>
          <w:szCs w:val="20"/>
          <w:lang w:eastAsia="pl-PL"/>
        </w:rPr>
        <w:t>Zastosowanie rozwiązań gwarantujących i podnoszących bezpieczeństwo w zakresie ciągłości działania systemów</w:t>
      </w:r>
    </w:p>
    <w:p w:rsidR="00106E12" w:rsidRPr="00D067DD" w:rsidRDefault="00652FA7" w:rsidP="00561129">
      <w:pPr>
        <w:pStyle w:val="Akapitzlist"/>
        <w:spacing w:line="240" w:lineRule="auto"/>
        <w:jc w:val="both"/>
        <w:rPr>
          <w:bCs/>
        </w:rPr>
      </w:pPr>
      <w:r w:rsidRPr="00D067DD">
        <w:rPr>
          <w:bCs/>
        </w:rPr>
        <w:t xml:space="preserve">Kryterium nr </w:t>
      </w:r>
      <w:r w:rsidR="00D067DD" w:rsidRPr="00D067DD">
        <w:rPr>
          <w:bCs/>
        </w:rPr>
        <w:t>8</w:t>
      </w:r>
      <w:r w:rsidR="00C35ACB" w:rsidRPr="00D067DD">
        <w:rPr>
          <w:bCs/>
        </w:rPr>
        <w:t xml:space="preserve"> – </w:t>
      </w:r>
      <w:r w:rsidR="00D067DD" w:rsidRPr="00D067DD">
        <w:rPr>
          <w:color w:val="000000"/>
          <w:szCs w:val="20"/>
        </w:rPr>
        <w:t>Zasięg i oddziaływanie projektu</w:t>
      </w:r>
    </w:p>
    <w:sectPr w:rsidR="00106E12" w:rsidRPr="00D067DD" w:rsidSect="00CC3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94" w:right="102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60" w:rsidRDefault="007A3360" w:rsidP="00964B0C">
      <w:pPr>
        <w:spacing w:line="240" w:lineRule="auto"/>
      </w:pPr>
      <w:r>
        <w:separator/>
      </w:r>
    </w:p>
  </w:endnote>
  <w:endnote w:type="continuationSeparator" w:id="0">
    <w:p w:rsidR="007A3360" w:rsidRDefault="007A3360" w:rsidP="0096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4" w:rsidRDefault="007A09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Default="00465F3E">
    <w:pPr>
      <w:pStyle w:val="Stopka"/>
      <w:jc w:val="center"/>
    </w:pPr>
    <w:r>
      <w:fldChar w:fldCharType="begin"/>
    </w:r>
    <w:r w:rsidR="00CF2879">
      <w:instrText xml:space="preserve"> PAGE   \* MERGEFORMAT </w:instrText>
    </w:r>
    <w:r>
      <w:fldChar w:fldCharType="separate"/>
    </w:r>
    <w:r w:rsidR="001404E5">
      <w:rPr>
        <w:noProof/>
      </w:rPr>
      <w:t>1</w:t>
    </w:r>
    <w:r>
      <w:rPr>
        <w:noProof/>
      </w:rPr>
      <w:fldChar w:fldCharType="end"/>
    </w:r>
  </w:p>
  <w:p w:rsidR="000A6BB6" w:rsidRDefault="000A6B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4" w:rsidRDefault="007A09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60" w:rsidRDefault="007A3360" w:rsidP="00964B0C">
      <w:pPr>
        <w:spacing w:line="240" w:lineRule="auto"/>
      </w:pPr>
      <w:r>
        <w:separator/>
      </w:r>
    </w:p>
  </w:footnote>
  <w:footnote w:type="continuationSeparator" w:id="0">
    <w:p w:rsidR="007A3360" w:rsidRDefault="007A3360" w:rsidP="0096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4" w:rsidRDefault="007A09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Pr="005B1CD5" w:rsidRDefault="001404E5" w:rsidP="005B1CD5">
    <w:pPr>
      <w:autoSpaceDE w:val="0"/>
      <w:autoSpaceDN w:val="0"/>
      <w:adjustRightInd w:val="0"/>
      <w:spacing w:after="200"/>
      <w:jc w:val="both"/>
      <w:rPr>
        <w:rFonts w:asciiTheme="minorHAnsi" w:hAnsiTheme="minorHAnsi"/>
        <w:color w:val="000000"/>
        <w:szCs w:val="20"/>
      </w:rPr>
    </w:pPr>
    <w:r>
      <w:rPr>
        <w:rFonts w:asciiTheme="minorHAnsi" w:hAnsiTheme="minorHAnsi"/>
        <w:szCs w:val="20"/>
      </w:rPr>
      <w:t>Załącznik nr 1 do Uchwały nr 113</w:t>
    </w:r>
    <w:r w:rsidR="004D4E6B">
      <w:rPr>
        <w:rFonts w:asciiTheme="minorHAnsi" w:hAnsiTheme="minorHAnsi"/>
        <w:szCs w:val="20"/>
      </w:rPr>
      <w:t xml:space="preserve">/2017 </w:t>
    </w:r>
    <w:r w:rsidR="007A0944">
      <w:rPr>
        <w:szCs w:val="20"/>
      </w:rPr>
      <w:t xml:space="preserve">Komitetu Monitorującego Regionalny Program Operacyjny Województwa Świętokrzyskiego na lata 2014-2020 </w:t>
    </w:r>
    <w:r>
      <w:rPr>
        <w:rFonts w:asciiTheme="minorHAnsi" w:hAnsiTheme="minorHAnsi"/>
        <w:szCs w:val="20"/>
      </w:rPr>
      <w:t>z dnia 22.05.</w:t>
    </w:r>
    <w:bookmarkStart w:id="1" w:name="_GoBack"/>
    <w:bookmarkEnd w:id="1"/>
    <w:r w:rsidR="000A6BB6" w:rsidRPr="00980A2F">
      <w:rPr>
        <w:rFonts w:asciiTheme="minorHAnsi" w:hAnsiTheme="minorHAnsi"/>
        <w:szCs w:val="20"/>
      </w:rPr>
      <w:t>201</w:t>
    </w:r>
    <w:r w:rsidR="0065764E">
      <w:rPr>
        <w:rFonts w:asciiTheme="minorHAnsi" w:hAnsiTheme="minorHAnsi"/>
        <w:szCs w:val="20"/>
      </w:rPr>
      <w:t>7</w:t>
    </w:r>
    <w:r w:rsidR="000A6BB6" w:rsidRPr="00980A2F">
      <w:rPr>
        <w:rFonts w:asciiTheme="minorHAnsi" w:hAnsiTheme="minorHAnsi"/>
        <w:szCs w:val="20"/>
      </w:rPr>
      <w:t xml:space="preserve"> r.  pn. 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 xml:space="preserve">Kryteria merytoryczne dla działania </w:t>
    </w:r>
    <w:r w:rsidR="00D20112" w:rsidRPr="00D20112">
      <w:rPr>
        <w:rStyle w:val="Formularznormalny"/>
        <w:rFonts w:asciiTheme="minorHAnsi" w:hAnsiTheme="minorHAnsi"/>
        <w:sz w:val="20"/>
        <w:szCs w:val="20"/>
      </w:rPr>
      <w:t xml:space="preserve">7.1 Rozwój e- społeczeństwa 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>realizowanego  w ramach Regionalnego Programu Operacyjnego Województwa Świętokrzyskiego na lata 2014-2020, współfinansowanego z Europejskiego Funduszu Rozwoju Regionalnego.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4" w:rsidRDefault="007A09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708"/>
    <w:multiLevelType w:val="hybridMultilevel"/>
    <w:tmpl w:val="C2D6162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25A"/>
    <w:multiLevelType w:val="hybridMultilevel"/>
    <w:tmpl w:val="FA066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32F9"/>
    <w:multiLevelType w:val="hybridMultilevel"/>
    <w:tmpl w:val="792C0FEA"/>
    <w:lvl w:ilvl="0" w:tplc="F3780944">
      <w:start w:val="1"/>
      <w:numFmt w:val="lowerLetter"/>
      <w:lvlText w:val="%1)"/>
      <w:lvlJc w:val="right"/>
      <w:pPr>
        <w:ind w:left="1069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FE2460"/>
    <w:multiLevelType w:val="hybridMultilevel"/>
    <w:tmpl w:val="63A2D9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B6FB0"/>
    <w:multiLevelType w:val="hybridMultilevel"/>
    <w:tmpl w:val="22080E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01C3E"/>
    <w:multiLevelType w:val="hybridMultilevel"/>
    <w:tmpl w:val="084A6212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39CA5F80">
      <w:start w:val="1"/>
      <w:numFmt w:val="lowerLetter"/>
      <w:lvlText w:val="%2)"/>
      <w:lvlJc w:val="righ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B763031"/>
    <w:multiLevelType w:val="hybridMultilevel"/>
    <w:tmpl w:val="D02807F0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C506B6C"/>
    <w:multiLevelType w:val="hybridMultilevel"/>
    <w:tmpl w:val="AC441E94"/>
    <w:lvl w:ilvl="0" w:tplc="28D6019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67A8"/>
    <w:multiLevelType w:val="hybridMultilevel"/>
    <w:tmpl w:val="E03A9EFE"/>
    <w:lvl w:ilvl="0" w:tplc="204ED17A">
      <w:start w:val="1"/>
      <w:numFmt w:val="bullet"/>
      <w:lvlText w:val="–"/>
      <w:lvlJc w:val="left"/>
      <w:pPr>
        <w:ind w:left="79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281F5732"/>
    <w:multiLevelType w:val="hybridMultilevel"/>
    <w:tmpl w:val="D6D8DF7A"/>
    <w:lvl w:ilvl="0" w:tplc="5A641D62">
      <w:start w:val="1"/>
      <w:numFmt w:val="lowerLetter"/>
      <w:lvlText w:val="%1)"/>
      <w:lvlJc w:val="right"/>
      <w:pPr>
        <w:ind w:left="87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 w15:restartNumberingAfterBreak="0">
    <w:nsid w:val="2DED1993"/>
    <w:multiLevelType w:val="hybridMultilevel"/>
    <w:tmpl w:val="771AA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71ABC"/>
    <w:multiLevelType w:val="hybridMultilevel"/>
    <w:tmpl w:val="6532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B2780"/>
    <w:multiLevelType w:val="hybridMultilevel"/>
    <w:tmpl w:val="B9523758"/>
    <w:lvl w:ilvl="0" w:tplc="24BC8F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40A70"/>
    <w:multiLevelType w:val="hybridMultilevel"/>
    <w:tmpl w:val="CFEAD2BC"/>
    <w:lvl w:ilvl="0" w:tplc="36C21B16">
      <w:start w:val="1"/>
      <w:numFmt w:val="lowerLetter"/>
      <w:lvlText w:val="%1)"/>
      <w:lvlJc w:val="right"/>
      <w:pPr>
        <w:ind w:left="5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4" w15:restartNumberingAfterBreak="0">
    <w:nsid w:val="4CAE7D6A"/>
    <w:multiLevelType w:val="hybridMultilevel"/>
    <w:tmpl w:val="8742851E"/>
    <w:lvl w:ilvl="0" w:tplc="6D164B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44B2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419BA"/>
    <w:multiLevelType w:val="hybridMultilevel"/>
    <w:tmpl w:val="30C43438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E72AB"/>
    <w:multiLevelType w:val="hybridMultilevel"/>
    <w:tmpl w:val="2E640A16"/>
    <w:lvl w:ilvl="0" w:tplc="7356409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5228C"/>
    <w:multiLevelType w:val="hybridMultilevel"/>
    <w:tmpl w:val="8C0E5E30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47874"/>
    <w:multiLevelType w:val="hybridMultilevel"/>
    <w:tmpl w:val="FC7CC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70995"/>
    <w:multiLevelType w:val="hybridMultilevel"/>
    <w:tmpl w:val="7DFA5F7E"/>
    <w:lvl w:ilvl="0" w:tplc="5A641D6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D5A22"/>
    <w:multiLevelType w:val="hybridMultilevel"/>
    <w:tmpl w:val="4874DF1E"/>
    <w:lvl w:ilvl="0" w:tplc="5A641D62">
      <w:start w:val="1"/>
      <w:numFmt w:val="lowerLetter"/>
      <w:lvlText w:val="%1)"/>
      <w:lvlJc w:val="right"/>
      <w:pPr>
        <w:ind w:left="747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5BDA7E3F"/>
    <w:multiLevelType w:val="hybridMultilevel"/>
    <w:tmpl w:val="087CFA50"/>
    <w:lvl w:ilvl="0" w:tplc="24BC8F08">
      <w:start w:val="1"/>
      <w:numFmt w:val="lowerLetter"/>
      <w:lvlText w:val="%1)"/>
      <w:lvlJc w:val="righ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776C321F"/>
    <w:multiLevelType w:val="hybridMultilevel"/>
    <w:tmpl w:val="04FED172"/>
    <w:lvl w:ilvl="0" w:tplc="204ED17A">
      <w:start w:val="1"/>
      <w:numFmt w:val="bullet"/>
      <w:lvlText w:val="–"/>
      <w:lvlJc w:val="left"/>
      <w:pPr>
        <w:ind w:left="43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3" w15:restartNumberingAfterBreak="0">
    <w:nsid w:val="7ABF335B"/>
    <w:multiLevelType w:val="hybridMultilevel"/>
    <w:tmpl w:val="C46849BE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5A641D62">
      <w:start w:val="1"/>
      <w:numFmt w:val="lowerLetter"/>
      <w:lvlText w:val="%2)"/>
      <w:lvlJc w:val="right"/>
      <w:pPr>
        <w:ind w:left="1083" w:hanging="360"/>
      </w:pPr>
      <w:rPr>
        <w:rFonts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7AC2245C"/>
    <w:multiLevelType w:val="hybridMultilevel"/>
    <w:tmpl w:val="9564A8B4"/>
    <w:lvl w:ilvl="0" w:tplc="5A641D62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5" w15:restartNumberingAfterBreak="0">
    <w:nsid w:val="7E5D79C7"/>
    <w:multiLevelType w:val="hybridMultilevel"/>
    <w:tmpl w:val="56D490D6"/>
    <w:lvl w:ilvl="0" w:tplc="81925D30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7F343FE5"/>
    <w:multiLevelType w:val="hybridMultilevel"/>
    <w:tmpl w:val="E758B2EA"/>
    <w:lvl w:ilvl="0" w:tplc="B33216AA">
      <w:start w:val="1"/>
      <w:numFmt w:val="upperLetter"/>
      <w:lvlText w:val="%1)"/>
      <w:lvlJc w:val="right"/>
      <w:pPr>
        <w:ind w:left="83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2"/>
  </w:num>
  <w:num w:numId="5">
    <w:abstractNumId w:val="8"/>
  </w:num>
  <w:num w:numId="6">
    <w:abstractNumId w:val="4"/>
  </w:num>
  <w:num w:numId="7">
    <w:abstractNumId w:val="24"/>
  </w:num>
  <w:num w:numId="8">
    <w:abstractNumId w:val="26"/>
  </w:num>
  <w:num w:numId="9">
    <w:abstractNumId w:val="15"/>
  </w:num>
  <w:num w:numId="10">
    <w:abstractNumId w:val="16"/>
  </w:num>
  <w:num w:numId="11">
    <w:abstractNumId w:val="13"/>
  </w:num>
  <w:num w:numId="12">
    <w:abstractNumId w:val="19"/>
  </w:num>
  <w:num w:numId="13">
    <w:abstractNumId w:val="6"/>
  </w:num>
  <w:num w:numId="14">
    <w:abstractNumId w:val="5"/>
  </w:num>
  <w:num w:numId="15">
    <w:abstractNumId w:val="23"/>
  </w:num>
  <w:num w:numId="16">
    <w:abstractNumId w:val="9"/>
  </w:num>
  <w:num w:numId="17">
    <w:abstractNumId w:val="20"/>
  </w:num>
  <w:num w:numId="18">
    <w:abstractNumId w:val="2"/>
  </w:num>
  <w:num w:numId="19">
    <w:abstractNumId w:val="17"/>
  </w:num>
  <w:num w:numId="20">
    <w:abstractNumId w:val="21"/>
  </w:num>
  <w:num w:numId="21">
    <w:abstractNumId w:val="7"/>
  </w:num>
  <w:num w:numId="22">
    <w:abstractNumId w:val="25"/>
  </w:num>
  <w:num w:numId="23">
    <w:abstractNumId w:val="14"/>
  </w:num>
  <w:num w:numId="24">
    <w:abstractNumId w:val="0"/>
  </w:num>
  <w:num w:numId="25">
    <w:abstractNumId w:val="3"/>
  </w:num>
  <w:num w:numId="26">
    <w:abstractNumId w:val="10"/>
  </w:num>
  <w:num w:numId="27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E9"/>
    <w:rsid w:val="00001583"/>
    <w:rsid w:val="0000158B"/>
    <w:rsid w:val="00002020"/>
    <w:rsid w:val="000054FA"/>
    <w:rsid w:val="00006CFB"/>
    <w:rsid w:val="00015370"/>
    <w:rsid w:val="0001571D"/>
    <w:rsid w:val="000159CE"/>
    <w:rsid w:val="000226F5"/>
    <w:rsid w:val="00022F73"/>
    <w:rsid w:val="0002313E"/>
    <w:rsid w:val="000245D2"/>
    <w:rsid w:val="00025A56"/>
    <w:rsid w:val="000263D2"/>
    <w:rsid w:val="0002640D"/>
    <w:rsid w:val="00027366"/>
    <w:rsid w:val="00032D5C"/>
    <w:rsid w:val="00032F8C"/>
    <w:rsid w:val="00033224"/>
    <w:rsid w:val="00033AF6"/>
    <w:rsid w:val="000364A6"/>
    <w:rsid w:val="000368F9"/>
    <w:rsid w:val="0004000A"/>
    <w:rsid w:val="00040040"/>
    <w:rsid w:val="00043F82"/>
    <w:rsid w:val="000440AF"/>
    <w:rsid w:val="000445B1"/>
    <w:rsid w:val="000448ED"/>
    <w:rsid w:val="00053016"/>
    <w:rsid w:val="00060FD3"/>
    <w:rsid w:val="000610BE"/>
    <w:rsid w:val="00062A12"/>
    <w:rsid w:val="00062FB7"/>
    <w:rsid w:val="00065ED5"/>
    <w:rsid w:val="000662BE"/>
    <w:rsid w:val="00066895"/>
    <w:rsid w:val="000701C2"/>
    <w:rsid w:val="000706EA"/>
    <w:rsid w:val="0007231B"/>
    <w:rsid w:val="00072735"/>
    <w:rsid w:val="000741D5"/>
    <w:rsid w:val="00080668"/>
    <w:rsid w:val="00086762"/>
    <w:rsid w:val="000907DF"/>
    <w:rsid w:val="00091A51"/>
    <w:rsid w:val="00094B62"/>
    <w:rsid w:val="000A0A17"/>
    <w:rsid w:val="000A386A"/>
    <w:rsid w:val="000A5231"/>
    <w:rsid w:val="000A5AC0"/>
    <w:rsid w:val="000A6BB6"/>
    <w:rsid w:val="000B182D"/>
    <w:rsid w:val="000B2839"/>
    <w:rsid w:val="000B2A71"/>
    <w:rsid w:val="000B5855"/>
    <w:rsid w:val="000B72EC"/>
    <w:rsid w:val="000C3DA3"/>
    <w:rsid w:val="000C7D9F"/>
    <w:rsid w:val="000D013D"/>
    <w:rsid w:val="000D019F"/>
    <w:rsid w:val="000D01F0"/>
    <w:rsid w:val="000D0FA7"/>
    <w:rsid w:val="000D25F2"/>
    <w:rsid w:val="000D30FF"/>
    <w:rsid w:val="000D373D"/>
    <w:rsid w:val="000D6E8A"/>
    <w:rsid w:val="000E2D47"/>
    <w:rsid w:val="000E3642"/>
    <w:rsid w:val="000E5017"/>
    <w:rsid w:val="000E6174"/>
    <w:rsid w:val="000E63C0"/>
    <w:rsid w:val="000F3BCD"/>
    <w:rsid w:val="000F74CA"/>
    <w:rsid w:val="00100240"/>
    <w:rsid w:val="0010217D"/>
    <w:rsid w:val="00103B82"/>
    <w:rsid w:val="0010571E"/>
    <w:rsid w:val="00105F00"/>
    <w:rsid w:val="00106E12"/>
    <w:rsid w:val="00111368"/>
    <w:rsid w:val="00115AB6"/>
    <w:rsid w:val="00116903"/>
    <w:rsid w:val="00116CCA"/>
    <w:rsid w:val="00116D3F"/>
    <w:rsid w:val="00117CE6"/>
    <w:rsid w:val="00120839"/>
    <w:rsid w:val="00120C7A"/>
    <w:rsid w:val="001220E1"/>
    <w:rsid w:val="00122170"/>
    <w:rsid w:val="00126D58"/>
    <w:rsid w:val="00127A1C"/>
    <w:rsid w:val="001306AA"/>
    <w:rsid w:val="00132EA4"/>
    <w:rsid w:val="00134A85"/>
    <w:rsid w:val="00134CBA"/>
    <w:rsid w:val="001355F1"/>
    <w:rsid w:val="0013616E"/>
    <w:rsid w:val="0013620C"/>
    <w:rsid w:val="001404E5"/>
    <w:rsid w:val="0014445F"/>
    <w:rsid w:val="001447CF"/>
    <w:rsid w:val="0014599C"/>
    <w:rsid w:val="001465EC"/>
    <w:rsid w:val="0014796A"/>
    <w:rsid w:val="00150ABA"/>
    <w:rsid w:val="00151757"/>
    <w:rsid w:val="00154439"/>
    <w:rsid w:val="00154D43"/>
    <w:rsid w:val="00154D4E"/>
    <w:rsid w:val="00156785"/>
    <w:rsid w:val="00160D1D"/>
    <w:rsid w:val="00162EB2"/>
    <w:rsid w:val="0016397C"/>
    <w:rsid w:val="00164778"/>
    <w:rsid w:val="00164C19"/>
    <w:rsid w:val="0016536D"/>
    <w:rsid w:val="00165D40"/>
    <w:rsid w:val="00166F24"/>
    <w:rsid w:val="00167E07"/>
    <w:rsid w:val="00171DA5"/>
    <w:rsid w:val="00173322"/>
    <w:rsid w:val="00174977"/>
    <w:rsid w:val="00174A52"/>
    <w:rsid w:val="00176652"/>
    <w:rsid w:val="0018086E"/>
    <w:rsid w:val="00181575"/>
    <w:rsid w:val="00181D12"/>
    <w:rsid w:val="00182952"/>
    <w:rsid w:val="00183D0F"/>
    <w:rsid w:val="00183EDD"/>
    <w:rsid w:val="00186ED4"/>
    <w:rsid w:val="001873FB"/>
    <w:rsid w:val="001910A2"/>
    <w:rsid w:val="00191B57"/>
    <w:rsid w:val="0019341C"/>
    <w:rsid w:val="001934E4"/>
    <w:rsid w:val="00194B95"/>
    <w:rsid w:val="0019625D"/>
    <w:rsid w:val="0019726B"/>
    <w:rsid w:val="001977BA"/>
    <w:rsid w:val="001A0A25"/>
    <w:rsid w:val="001A16A2"/>
    <w:rsid w:val="001A19F3"/>
    <w:rsid w:val="001A1A8D"/>
    <w:rsid w:val="001A20E4"/>
    <w:rsid w:val="001A2619"/>
    <w:rsid w:val="001A66B3"/>
    <w:rsid w:val="001B6402"/>
    <w:rsid w:val="001B7599"/>
    <w:rsid w:val="001C1676"/>
    <w:rsid w:val="001C2E03"/>
    <w:rsid w:val="001C48BD"/>
    <w:rsid w:val="001D2EB8"/>
    <w:rsid w:val="001D331F"/>
    <w:rsid w:val="001D732D"/>
    <w:rsid w:val="001D7B93"/>
    <w:rsid w:val="001D7FF7"/>
    <w:rsid w:val="001E062B"/>
    <w:rsid w:val="001E0DFA"/>
    <w:rsid w:val="001E15E3"/>
    <w:rsid w:val="001E223D"/>
    <w:rsid w:val="001E6875"/>
    <w:rsid w:val="001E713A"/>
    <w:rsid w:val="001F18C0"/>
    <w:rsid w:val="001F1D8D"/>
    <w:rsid w:val="00202A80"/>
    <w:rsid w:val="002051EE"/>
    <w:rsid w:val="002052F7"/>
    <w:rsid w:val="00205D41"/>
    <w:rsid w:val="00211929"/>
    <w:rsid w:val="0021206D"/>
    <w:rsid w:val="0021365F"/>
    <w:rsid w:val="00213842"/>
    <w:rsid w:val="00213D35"/>
    <w:rsid w:val="002146D9"/>
    <w:rsid w:val="00215634"/>
    <w:rsid w:val="0021580B"/>
    <w:rsid w:val="00216B0A"/>
    <w:rsid w:val="00217F5F"/>
    <w:rsid w:val="00220A09"/>
    <w:rsid w:val="002215AF"/>
    <w:rsid w:val="002219A8"/>
    <w:rsid w:val="00222D7F"/>
    <w:rsid w:val="00231A58"/>
    <w:rsid w:val="002328BD"/>
    <w:rsid w:val="002339F1"/>
    <w:rsid w:val="002359E6"/>
    <w:rsid w:val="00236FF5"/>
    <w:rsid w:val="00241CE8"/>
    <w:rsid w:val="002430B9"/>
    <w:rsid w:val="0024594F"/>
    <w:rsid w:val="002462C1"/>
    <w:rsid w:val="0025298A"/>
    <w:rsid w:val="002546E4"/>
    <w:rsid w:val="00256591"/>
    <w:rsid w:val="00256E92"/>
    <w:rsid w:val="00262275"/>
    <w:rsid w:val="00267229"/>
    <w:rsid w:val="002716DF"/>
    <w:rsid w:val="00271E35"/>
    <w:rsid w:val="00272BB0"/>
    <w:rsid w:val="002730F6"/>
    <w:rsid w:val="002731A7"/>
    <w:rsid w:val="002779D2"/>
    <w:rsid w:val="002802AB"/>
    <w:rsid w:val="00280613"/>
    <w:rsid w:val="00280F02"/>
    <w:rsid w:val="00281FC4"/>
    <w:rsid w:val="00282E68"/>
    <w:rsid w:val="00285281"/>
    <w:rsid w:val="0028687F"/>
    <w:rsid w:val="002879F9"/>
    <w:rsid w:val="00295096"/>
    <w:rsid w:val="00295F21"/>
    <w:rsid w:val="002A1E77"/>
    <w:rsid w:val="002A28B5"/>
    <w:rsid w:val="002A2F22"/>
    <w:rsid w:val="002A5158"/>
    <w:rsid w:val="002B0DA7"/>
    <w:rsid w:val="002B1885"/>
    <w:rsid w:val="002B19A3"/>
    <w:rsid w:val="002B2326"/>
    <w:rsid w:val="002B26C9"/>
    <w:rsid w:val="002B3C02"/>
    <w:rsid w:val="002B48FF"/>
    <w:rsid w:val="002C13A4"/>
    <w:rsid w:val="002C18A5"/>
    <w:rsid w:val="002C19BE"/>
    <w:rsid w:val="002C58DA"/>
    <w:rsid w:val="002C6407"/>
    <w:rsid w:val="002C6A55"/>
    <w:rsid w:val="002C6D3E"/>
    <w:rsid w:val="002C7B91"/>
    <w:rsid w:val="002D11B6"/>
    <w:rsid w:val="002D1623"/>
    <w:rsid w:val="002D1B66"/>
    <w:rsid w:val="002D527E"/>
    <w:rsid w:val="002D69D0"/>
    <w:rsid w:val="002D7B5D"/>
    <w:rsid w:val="002E0271"/>
    <w:rsid w:val="002E0E48"/>
    <w:rsid w:val="002E2BA1"/>
    <w:rsid w:val="002E481A"/>
    <w:rsid w:val="002E6FCA"/>
    <w:rsid w:val="002E7218"/>
    <w:rsid w:val="002E79B9"/>
    <w:rsid w:val="002F132D"/>
    <w:rsid w:val="002F6893"/>
    <w:rsid w:val="00304AE4"/>
    <w:rsid w:val="003054ED"/>
    <w:rsid w:val="00305619"/>
    <w:rsid w:val="0030602F"/>
    <w:rsid w:val="00312023"/>
    <w:rsid w:val="003123DD"/>
    <w:rsid w:val="003136DC"/>
    <w:rsid w:val="00314EC5"/>
    <w:rsid w:val="003160BC"/>
    <w:rsid w:val="003173B0"/>
    <w:rsid w:val="003174C1"/>
    <w:rsid w:val="003238F8"/>
    <w:rsid w:val="00325062"/>
    <w:rsid w:val="0032791A"/>
    <w:rsid w:val="003340AD"/>
    <w:rsid w:val="0033478B"/>
    <w:rsid w:val="00335378"/>
    <w:rsid w:val="00336088"/>
    <w:rsid w:val="00336AE7"/>
    <w:rsid w:val="00340C8A"/>
    <w:rsid w:val="003413FC"/>
    <w:rsid w:val="003444E3"/>
    <w:rsid w:val="00351866"/>
    <w:rsid w:val="00354FC2"/>
    <w:rsid w:val="0036257D"/>
    <w:rsid w:val="00362BFD"/>
    <w:rsid w:val="00364E45"/>
    <w:rsid w:val="00371FF7"/>
    <w:rsid w:val="0037499A"/>
    <w:rsid w:val="0037643D"/>
    <w:rsid w:val="003773CA"/>
    <w:rsid w:val="0038027D"/>
    <w:rsid w:val="00383120"/>
    <w:rsid w:val="003857F1"/>
    <w:rsid w:val="0039063C"/>
    <w:rsid w:val="00393626"/>
    <w:rsid w:val="0039396B"/>
    <w:rsid w:val="00394494"/>
    <w:rsid w:val="003945C9"/>
    <w:rsid w:val="00395271"/>
    <w:rsid w:val="003963C3"/>
    <w:rsid w:val="003A36F3"/>
    <w:rsid w:val="003A78AC"/>
    <w:rsid w:val="003A7C0C"/>
    <w:rsid w:val="003B0C7D"/>
    <w:rsid w:val="003B117B"/>
    <w:rsid w:val="003B130C"/>
    <w:rsid w:val="003B73E2"/>
    <w:rsid w:val="003C03B0"/>
    <w:rsid w:val="003C2001"/>
    <w:rsid w:val="003C2A4A"/>
    <w:rsid w:val="003C2FF8"/>
    <w:rsid w:val="003C5ABF"/>
    <w:rsid w:val="003C5FC0"/>
    <w:rsid w:val="003C77BE"/>
    <w:rsid w:val="003D06CD"/>
    <w:rsid w:val="003D0762"/>
    <w:rsid w:val="003D14D7"/>
    <w:rsid w:val="003D3264"/>
    <w:rsid w:val="003D474B"/>
    <w:rsid w:val="003D7296"/>
    <w:rsid w:val="003D7662"/>
    <w:rsid w:val="003E11A4"/>
    <w:rsid w:val="003E1750"/>
    <w:rsid w:val="003E24B3"/>
    <w:rsid w:val="003E3861"/>
    <w:rsid w:val="003E40C4"/>
    <w:rsid w:val="003E4B80"/>
    <w:rsid w:val="003E6F26"/>
    <w:rsid w:val="003F3DA3"/>
    <w:rsid w:val="003F41A1"/>
    <w:rsid w:val="003F5A55"/>
    <w:rsid w:val="003F79DF"/>
    <w:rsid w:val="00400A80"/>
    <w:rsid w:val="00403C72"/>
    <w:rsid w:val="0040743C"/>
    <w:rsid w:val="004074B8"/>
    <w:rsid w:val="00410B55"/>
    <w:rsid w:val="0041248D"/>
    <w:rsid w:val="004128B1"/>
    <w:rsid w:val="00412920"/>
    <w:rsid w:val="00415861"/>
    <w:rsid w:val="004204C1"/>
    <w:rsid w:val="00420B0C"/>
    <w:rsid w:val="00420C56"/>
    <w:rsid w:val="00420F6F"/>
    <w:rsid w:val="00430DCC"/>
    <w:rsid w:val="0043128A"/>
    <w:rsid w:val="00433631"/>
    <w:rsid w:val="00440755"/>
    <w:rsid w:val="004503A3"/>
    <w:rsid w:val="00453832"/>
    <w:rsid w:val="00456116"/>
    <w:rsid w:val="0045652C"/>
    <w:rsid w:val="004579EF"/>
    <w:rsid w:val="00460139"/>
    <w:rsid w:val="00461C48"/>
    <w:rsid w:val="004630C2"/>
    <w:rsid w:val="00463B60"/>
    <w:rsid w:val="00463DD7"/>
    <w:rsid w:val="00464563"/>
    <w:rsid w:val="00465F3E"/>
    <w:rsid w:val="004661F5"/>
    <w:rsid w:val="00473623"/>
    <w:rsid w:val="0047417F"/>
    <w:rsid w:val="00476DB5"/>
    <w:rsid w:val="00483385"/>
    <w:rsid w:val="004853E0"/>
    <w:rsid w:val="0048579F"/>
    <w:rsid w:val="00486ABA"/>
    <w:rsid w:val="004917DF"/>
    <w:rsid w:val="0049279E"/>
    <w:rsid w:val="00495724"/>
    <w:rsid w:val="004A0287"/>
    <w:rsid w:val="004A0C29"/>
    <w:rsid w:val="004A1E25"/>
    <w:rsid w:val="004A61D3"/>
    <w:rsid w:val="004B0804"/>
    <w:rsid w:val="004B0B20"/>
    <w:rsid w:val="004B0E24"/>
    <w:rsid w:val="004B2654"/>
    <w:rsid w:val="004B2F29"/>
    <w:rsid w:val="004B6163"/>
    <w:rsid w:val="004B63CC"/>
    <w:rsid w:val="004B71BC"/>
    <w:rsid w:val="004B7CCE"/>
    <w:rsid w:val="004C06D7"/>
    <w:rsid w:val="004C1032"/>
    <w:rsid w:val="004C18EA"/>
    <w:rsid w:val="004C224B"/>
    <w:rsid w:val="004C2ABC"/>
    <w:rsid w:val="004C6E4A"/>
    <w:rsid w:val="004C7F9F"/>
    <w:rsid w:val="004D35EF"/>
    <w:rsid w:val="004D4E6B"/>
    <w:rsid w:val="004D709D"/>
    <w:rsid w:val="004D7248"/>
    <w:rsid w:val="004D72F9"/>
    <w:rsid w:val="004D7306"/>
    <w:rsid w:val="004D751E"/>
    <w:rsid w:val="004E17DA"/>
    <w:rsid w:val="004E70A9"/>
    <w:rsid w:val="004F3040"/>
    <w:rsid w:val="004F32EE"/>
    <w:rsid w:val="004F3342"/>
    <w:rsid w:val="004F4583"/>
    <w:rsid w:val="004F63B5"/>
    <w:rsid w:val="00500ABA"/>
    <w:rsid w:val="0050349D"/>
    <w:rsid w:val="00504BD2"/>
    <w:rsid w:val="005052A3"/>
    <w:rsid w:val="0050532F"/>
    <w:rsid w:val="00505B6B"/>
    <w:rsid w:val="0050734B"/>
    <w:rsid w:val="00507B35"/>
    <w:rsid w:val="005108EC"/>
    <w:rsid w:val="00511B01"/>
    <w:rsid w:val="00516F86"/>
    <w:rsid w:val="00520B9B"/>
    <w:rsid w:val="00525519"/>
    <w:rsid w:val="005266E3"/>
    <w:rsid w:val="00530522"/>
    <w:rsid w:val="0053190D"/>
    <w:rsid w:val="0053472A"/>
    <w:rsid w:val="00534E30"/>
    <w:rsid w:val="00537FB1"/>
    <w:rsid w:val="00540081"/>
    <w:rsid w:val="0054183F"/>
    <w:rsid w:val="005420B6"/>
    <w:rsid w:val="0054256D"/>
    <w:rsid w:val="00542A00"/>
    <w:rsid w:val="00543272"/>
    <w:rsid w:val="005507CA"/>
    <w:rsid w:val="00550EDA"/>
    <w:rsid w:val="00551597"/>
    <w:rsid w:val="005521E5"/>
    <w:rsid w:val="00552B0D"/>
    <w:rsid w:val="00553EEF"/>
    <w:rsid w:val="00554EC4"/>
    <w:rsid w:val="00556FD6"/>
    <w:rsid w:val="0055784F"/>
    <w:rsid w:val="00561129"/>
    <w:rsid w:val="005620E4"/>
    <w:rsid w:val="00567884"/>
    <w:rsid w:val="005700EF"/>
    <w:rsid w:val="00571B33"/>
    <w:rsid w:val="00571D63"/>
    <w:rsid w:val="00572BEC"/>
    <w:rsid w:val="005752CA"/>
    <w:rsid w:val="00580B08"/>
    <w:rsid w:val="0058346C"/>
    <w:rsid w:val="005842BD"/>
    <w:rsid w:val="00585D67"/>
    <w:rsid w:val="00586F82"/>
    <w:rsid w:val="0059241C"/>
    <w:rsid w:val="00592E1C"/>
    <w:rsid w:val="005935D2"/>
    <w:rsid w:val="005945FC"/>
    <w:rsid w:val="00594AC6"/>
    <w:rsid w:val="00594F52"/>
    <w:rsid w:val="005955CB"/>
    <w:rsid w:val="005A00FC"/>
    <w:rsid w:val="005A46BA"/>
    <w:rsid w:val="005A5D8C"/>
    <w:rsid w:val="005A665D"/>
    <w:rsid w:val="005A7786"/>
    <w:rsid w:val="005B0797"/>
    <w:rsid w:val="005B1C4B"/>
    <w:rsid w:val="005B1CD5"/>
    <w:rsid w:val="005B2D58"/>
    <w:rsid w:val="005B542B"/>
    <w:rsid w:val="005B68A9"/>
    <w:rsid w:val="005B68CA"/>
    <w:rsid w:val="005B73CA"/>
    <w:rsid w:val="005C14A5"/>
    <w:rsid w:val="005C295C"/>
    <w:rsid w:val="005C29D0"/>
    <w:rsid w:val="005C2DB7"/>
    <w:rsid w:val="005C42CB"/>
    <w:rsid w:val="005C5728"/>
    <w:rsid w:val="005C5C8C"/>
    <w:rsid w:val="005C6E63"/>
    <w:rsid w:val="005C79B3"/>
    <w:rsid w:val="005D16A7"/>
    <w:rsid w:val="005D1B80"/>
    <w:rsid w:val="005D2285"/>
    <w:rsid w:val="005D2E2C"/>
    <w:rsid w:val="005D3451"/>
    <w:rsid w:val="005D6B00"/>
    <w:rsid w:val="005D747D"/>
    <w:rsid w:val="005E18FD"/>
    <w:rsid w:val="005E403D"/>
    <w:rsid w:val="005E40DE"/>
    <w:rsid w:val="005E5F29"/>
    <w:rsid w:val="005E790B"/>
    <w:rsid w:val="005F0195"/>
    <w:rsid w:val="005F0ECD"/>
    <w:rsid w:val="005F45C1"/>
    <w:rsid w:val="005F4E08"/>
    <w:rsid w:val="005F4EFC"/>
    <w:rsid w:val="005F734C"/>
    <w:rsid w:val="00600E19"/>
    <w:rsid w:val="0060121E"/>
    <w:rsid w:val="00616756"/>
    <w:rsid w:val="00620A2E"/>
    <w:rsid w:val="006234D4"/>
    <w:rsid w:val="00630981"/>
    <w:rsid w:val="006320DC"/>
    <w:rsid w:val="006340F9"/>
    <w:rsid w:val="00635061"/>
    <w:rsid w:val="00640437"/>
    <w:rsid w:val="00642C6D"/>
    <w:rsid w:val="006434A6"/>
    <w:rsid w:val="00647995"/>
    <w:rsid w:val="00650981"/>
    <w:rsid w:val="00650C6B"/>
    <w:rsid w:val="00652FA7"/>
    <w:rsid w:val="00653B0E"/>
    <w:rsid w:val="00655D91"/>
    <w:rsid w:val="006570DE"/>
    <w:rsid w:val="0065764E"/>
    <w:rsid w:val="00663ADC"/>
    <w:rsid w:val="00665A72"/>
    <w:rsid w:val="006672D6"/>
    <w:rsid w:val="006707D0"/>
    <w:rsid w:val="00672760"/>
    <w:rsid w:val="006777A1"/>
    <w:rsid w:val="00681897"/>
    <w:rsid w:val="00683EFD"/>
    <w:rsid w:val="006923CB"/>
    <w:rsid w:val="006945FD"/>
    <w:rsid w:val="006A137B"/>
    <w:rsid w:val="006A2A0D"/>
    <w:rsid w:val="006A2FAF"/>
    <w:rsid w:val="006A40FF"/>
    <w:rsid w:val="006A495A"/>
    <w:rsid w:val="006A5D29"/>
    <w:rsid w:val="006A653D"/>
    <w:rsid w:val="006B2936"/>
    <w:rsid w:val="006B2AA6"/>
    <w:rsid w:val="006B3D0A"/>
    <w:rsid w:val="006B41AC"/>
    <w:rsid w:val="006B73AB"/>
    <w:rsid w:val="006D019D"/>
    <w:rsid w:val="006D1DE9"/>
    <w:rsid w:val="006D29D5"/>
    <w:rsid w:val="006E1BBA"/>
    <w:rsid w:val="006E1EC2"/>
    <w:rsid w:val="006E4C5B"/>
    <w:rsid w:val="006E4D49"/>
    <w:rsid w:val="006F3AEE"/>
    <w:rsid w:val="006F4045"/>
    <w:rsid w:val="006F4A83"/>
    <w:rsid w:val="006F52DC"/>
    <w:rsid w:val="006F5549"/>
    <w:rsid w:val="006F7BCC"/>
    <w:rsid w:val="006F7D2F"/>
    <w:rsid w:val="0070562E"/>
    <w:rsid w:val="00710115"/>
    <w:rsid w:val="007106D1"/>
    <w:rsid w:val="00716FF0"/>
    <w:rsid w:val="0072373E"/>
    <w:rsid w:val="00723A5A"/>
    <w:rsid w:val="007252B9"/>
    <w:rsid w:val="007301FB"/>
    <w:rsid w:val="0073172D"/>
    <w:rsid w:val="007338F8"/>
    <w:rsid w:val="00735796"/>
    <w:rsid w:val="007368BF"/>
    <w:rsid w:val="007407F7"/>
    <w:rsid w:val="007416D1"/>
    <w:rsid w:val="0074173F"/>
    <w:rsid w:val="007417C5"/>
    <w:rsid w:val="007425E0"/>
    <w:rsid w:val="007447D5"/>
    <w:rsid w:val="00745EB6"/>
    <w:rsid w:val="007460D3"/>
    <w:rsid w:val="0075186B"/>
    <w:rsid w:val="00757E3F"/>
    <w:rsid w:val="0076560D"/>
    <w:rsid w:val="00766BAC"/>
    <w:rsid w:val="00767306"/>
    <w:rsid w:val="00770D38"/>
    <w:rsid w:val="00772530"/>
    <w:rsid w:val="00772574"/>
    <w:rsid w:val="00772991"/>
    <w:rsid w:val="00772BE1"/>
    <w:rsid w:val="0077558F"/>
    <w:rsid w:val="0077700C"/>
    <w:rsid w:val="00777188"/>
    <w:rsid w:val="007776D4"/>
    <w:rsid w:val="0078032B"/>
    <w:rsid w:val="00781C9D"/>
    <w:rsid w:val="00782343"/>
    <w:rsid w:val="00783AF6"/>
    <w:rsid w:val="00787413"/>
    <w:rsid w:val="00792F35"/>
    <w:rsid w:val="007954E5"/>
    <w:rsid w:val="007A053D"/>
    <w:rsid w:val="007A05D8"/>
    <w:rsid w:val="007A0944"/>
    <w:rsid w:val="007A13D9"/>
    <w:rsid w:val="007A1AE3"/>
    <w:rsid w:val="007A3360"/>
    <w:rsid w:val="007B3BB2"/>
    <w:rsid w:val="007B5530"/>
    <w:rsid w:val="007C11CF"/>
    <w:rsid w:val="007C1511"/>
    <w:rsid w:val="007C1B48"/>
    <w:rsid w:val="007C2BCE"/>
    <w:rsid w:val="007C2C54"/>
    <w:rsid w:val="007C465D"/>
    <w:rsid w:val="007C473C"/>
    <w:rsid w:val="007C53DB"/>
    <w:rsid w:val="007C6C05"/>
    <w:rsid w:val="007D1ACE"/>
    <w:rsid w:val="007D262B"/>
    <w:rsid w:val="007D3784"/>
    <w:rsid w:val="007D3AC9"/>
    <w:rsid w:val="007D5C80"/>
    <w:rsid w:val="007D7DC0"/>
    <w:rsid w:val="007E38E0"/>
    <w:rsid w:val="007E39BA"/>
    <w:rsid w:val="007E4AB5"/>
    <w:rsid w:val="007E528C"/>
    <w:rsid w:val="007E7282"/>
    <w:rsid w:val="007E7E8D"/>
    <w:rsid w:val="007F0A43"/>
    <w:rsid w:val="007F196F"/>
    <w:rsid w:val="007F35CB"/>
    <w:rsid w:val="007F4092"/>
    <w:rsid w:val="007F5B5B"/>
    <w:rsid w:val="007F6C27"/>
    <w:rsid w:val="00803BE1"/>
    <w:rsid w:val="008046A8"/>
    <w:rsid w:val="008121C8"/>
    <w:rsid w:val="00814F32"/>
    <w:rsid w:val="00816005"/>
    <w:rsid w:val="00817C2F"/>
    <w:rsid w:val="00822298"/>
    <w:rsid w:val="00822622"/>
    <w:rsid w:val="008242D2"/>
    <w:rsid w:val="00824F8F"/>
    <w:rsid w:val="00847BAA"/>
    <w:rsid w:val="00863921"/>
    <w:rsid w:val="00863EFC"/>
    <w:rsid w:val="00864EFE"/>
    <w:rsid w:val="008657F6"/>
    <w:rsid w:val="00865F1A"/>
    <w:rsid w:val="00872C43"/>
    <w:rsid w:val="00876150"/>
    <w:rsid w:val="008761AD"/>
    <w:rsid w:val="00881694"/>
    <w:rsid w:val="00881AF2"/>
    <w:rsid w:val="00882A74"/>
    <w:rsid w:val="008861C2"/>
    <w:rsid w:val="00886CFB"/>
    <w:rsid w:val="00887522"/>
    <w:rsid w:val="008906C8"/>
    <w:rsid w:val="00893BAB"/>
    <w:rsid w:val="008A09B4"/>
    <w:rsid w:val="008A1A4B"/>
    <w:rsid w:val="008A5325"/>
    <w:rsid w:val="008A70AE"/>
    <w:rsid w:val="008B14EE"/>
    <w:rsid w:val="008B23BC"/>
    <w:rsid w:val="008B2B56"/>
    <w:rsid w:val="008B46D7"/>
    <w:rsid w:val="008B67C1"/>
    <w:rsid w:val="008C0BE4"/>
    <w:rsid w:val="008C3398"/>
    <w:rsid w:val="008C6455"/>
    <w:rsid w:val="008C652B"/>
    <w:rsid w:val="008C664F"/>
    <w:rsid w:val="008D0243"/>
    <w:rsid w:val="008D4D85"/>
    <w:rsid w:val="008D6E54"/>
    <w:rsid w:val="008D7A88"/>
    <w:rsid w:val="008E1076"/>
    <w:rsid w:val="008E6771"/>
    <w:rsid w:val="008E7F52"/>
    <w:rsid w:val="008F0252"/>
    <w:rsid w:val="008F19E9"/>
    <w:rsid w:val="008F704F"/>
    <w:rsid w:val="008F7E04"/>
    <w:rsid w:val="00901BA6"/>
    <w:rsid w:val="009031AE"/>
    <w:rsid w:val="009032E4"/>
    <w:rsid w:val="00904758"/>
    <w:rsid w:val="00906E93"/>
    <w:rsid w:val="00907245"/>
    <w:rsid w:val="00910B67"/>
    <w:rsid w:val="00911265"/>
    <w:rsid w:val="0091342D"/>
    <w:rsid w:val="009220BD"/>
    <w:rsid w:val="00924C71"/>
    <w:rsid w:val="009274B0"/>
    <w:rsid w:val="00930714"/>
    <w:rsid w:val="00932356"/>
    <w:rsid w:val="00932835"/>
    <w:rsid w:val="009338B8"/>
    <w:rsid w:val="0093726D"/>
    <w:rsid w:val="00942B42"/>
    <w:rsid w:val="009453D2"/>
    <w:rsid w:val="00945D3D"/>
    <w:rsid w:val="00947BF6"/>
    <w:rsid w:val="00947F81"/>
    <w:rsid w:val="00950D73"/>
    <w:rsid w:val="00953FCC"/>
    <w:rsid w:val="00954E70"/>
    <w:rsid w:val="00956C95"/>
    <w:rsid w:val="0095713D"/>
    <w:rsid w:val="00957329"/>
    <w:rsid w:val="00957E7E"/>
    <w:rsid w:val="009631CA"/>
    <w:rsid w:val="00963E2F"/>
    <w:rsid w:val="00964B0C"/>
    <w:rsid w:val="00965016"/>
    <w:rsid w:val="0097013C"/>
    <w:rsid w:val="00970DB0"/>
    <w:rsid w:val="00973B8D"/>
    <w:rsid w:val="009769AE"/>
    <w:rsid w:val="00977D93"/>
    <w:rsid w:val="00985653"/>
    <w:rsid w:val="0099076B"/>
    <w:rsid w:val="00990897"/>
    <w:rsid w:val="00993E26"/>
    <w:rsid w:val="009A102C"/>
    <w:rsid w:val="009A1A49"/>
    <w:rsid w:val="009A2FE6"/>
    <w:rsid w:val="009A3340"/>
    <w:rsid w:val="009A349F"/>
    <w:rsid w:val="009B1AE0"/>
    <w:rsid w:val="009B1C45"/>
    <w:rsid w:val="009B3DCC"/>
    <w:rsid w:val="009B53EE"/>
    <w:rsid w:val="009B58CF"/>
    <w:rsid w:val="009B63A7"/>
    <w:rsid w:val="009B7D1F"/>
    <w:rsid w:val="009C00A6"/>
    <w:rsid w:val="009C0292"/>
    <w:rsid w:val="009C1723"/>
    <w:rsid w:val="009C22C3"/>
    <w:rsid w:val="009C2BDA"/>
    <w:rsid w:val="009C2CC3"/>
    <w:rsid w:val="009C3DDD"/>
    <w:rsid w:val="009C4710"/>
    <w:rsid w:val="009C5AD2"/>
    <w:rsid w:val="009C79C0"/>
    <w:rsid w:val="009D1410"/>
    <w:rsid w:val="009D4C13"/>
    <w:rsid w:val="009E0698"/>
    <w:rsid w:val="009E1792"/>
    <w:rsid w:val="009E2276"/>
    <w:rsid w:val="009E24DB"/>
    <w:rsid w:val="009E401F"/>
    <w:rsid w:val="009E7522"/>
    <w:rsid w:val="009F33F0"/>
    <w:rsid w:val="009F66CB"/>
    <w:rsid w:val="009F70CA"/>
    <w:rsid w:val="00A0132C"/>
    <w:rsid w:val="00A03A35"/>
    <w:rsid w:val="00A03D5A"/>
    <w:rsid w:val="00A04511"/>
    <w:rsid w:val="00A062C6"/>
    <w:rsid w:val="00A12D9F"/>
    <w:rsid w:val="00A1456E"/>
    <w:rsid w:val="00A15949"/>
    <w:rsid w:val="00A168BE"/>
    <w:rsid w:val="00A171E4"/>
    <w:rsid w:val="00A20BB9"/>
    <w:rsid w:val="00A24BB6"/>
    <w:rsid w:val="00A310D1"/>
    <w:rsid w:val="00A31506"/>
    <w:rsid w:val="00A330ED"/>
    <w:rsid w:val="00A332A3"/>
    <w:rsid w:val="00A33E9F"/>
    <w:rsid w:val="00A3446C"/>
    <w:rsid w:val="00A36BA7"/>
    <w:rsid w:val="00A404E2"/>
    <w:rsid w:val="00A436EA"/>
    <w:rsid w:val="00A43784"/>
    <w:rsid w:val="00A444B1"/>
    <w:rsid w:val="00A46718"/>
    <w:rsid w:val="00A4708B"/>
    <w:rsid w:val="00A5118F"/>
    <w:rsid w:val="00A516EB"/>
    <w:rsid w:val="00A51804"/>
    <w:rsid w:val="00A52460"/>
    <w:rsid w:val="00A53B51"/>
    <w:rsid w:val="00A53D93"/>
    <w:rsid w:val="00A53F0D"/>
    <w:rsid w:val="00A60A63"/>
    <w:rsid w:val="00A617B5"/>
    <w:rsid w:val="00A619F4"/>
    <w:rsid w:val="00A66086"/>
    <w:rsid w:val="00A67A0C"/>
    <w:rsid w:val="00A732B7"/>
    <w:rsid w:val="00A74EFF"/>
    <w:rsid w:val="00A75CBB"/>
    <w:rsid w:val="00A76F01"/>
    <w:rsid w:val="00A81689"/>
    <w:rsid w:val="00A816BF"/>
    <w:rsid w:val="00A820B8"/>
    <w:rsid w:val="00A84322"/>
    <w:rsid w:val="00A84CDA"/>
    <w:rsid w:val="00A86984"/>
    <w:rsid w:val="00A91AB5"/>
    <w:rsid w:val="00A92E19"/>
    <w:rsid w:val="00A9394C"/>
    <w:rsid w:val="00A95377"/>
    <w:rsid w:val="00A95986"/>
    <w:rsid w:val="00A97394"/>
    <w:rsid w:val="00A9773C"/>
    <w:rsid w:val="00AA0F0A"/>
    <w:rsid w:val="00AA118E"/>
    <w:rsid w:val="00AA63B7"/>
    <w:rsid w:val="00AA6A1D"/>
    <w:rsid w:val="00AA7993"/>
    <w:rsid w:val="00AB070B"/>
    <w:rsid w:val="00AB0CA3"/>
    <w:rsid w:val="00AB1730"/>
    <w:rsid w:val="00AB338B"/>
    <w:rsid w:val="00AB3AC1"/>
    <w:rsid w:val="00AB4370"/>
    <w:rsid w:val="00AB4C39"/>
    <w:rsid w:val="00AB5082"/>
    <w:rsid w:val="00AB625B"/>
    <w:rsid w:val="00AB7685"/>
    <w:rsid w:val="00AC1FE1"/>
    <w:rsid w:val="00AC2602"/>
    <w:rsid w:val="00AC2DD1"/>
    <w:rsid w:val="00AC388C"/>
    <w:rsid w:val="00AC67D8"/>
    <w:rsid w:val="00AC68C2"/>
    <w:rsid w:val="00AD0170"/>
    <w:rsid w:val="00AD08D5"/>
    <w:rsid w:val="00AD19A4"/>
    <w:rsid w:val="00AD308C"/>
    <w:rsid w:val="00AD3583"/>
    <w:rsid w:val="00AD46E6"/>
    <w:rsid w:val="00AD68D2"/>
    <w:rsid w:val="00AD7B6D"/>
    <w:rsid w:val="00AD7C7D"/>
    <w:rsid w:val="00AE3A47"/>
    <w:rsid w:val="00AE5AE9"/>
    <w:rsid w:val="00AE5B0D"/>
    <w:rsid w:val="00AF1860"/>
    <w:rsid w:val="00AF337D"/>
    <w:rsid w:val="00AF45AC"/>
    <w:rsid w:val="00AF4606"/>
    <w:rsid w:val="00AF4C44"/>
    <w:rsid w:val="00AF5B6A"/>
    <w:rsid w:val="00B000A5"/>
    <w:rsid w:val="00B009CC"/>
    <w:rsid w:val="00B03035"/>
    <w:rsid w:val="00B05964"/>
    <w:rsid w:val="00B10B95"/>
    <w:rsid w:val="00B13CC0"/>
    <w:rsid w:val="00B210CE"/>
    <w:rsid w:val="00B2247A"/>
    <w:rsid w:val="00B22DD7"/>
    <w:rsid w:val="00B23991"/>
    <w:rsid w:val="00B242A1"/>
    <w:rsid w:val="00B24CB9"/>
    <w:rsid w:val="00B2502B"/>
    <w:rsid w:val="00B255D8"/>
    <w:rsid w:val="00B2569E"/>
    <w:rsid w:val="00B27460"/>
    <w:rsid w:val="00B27E58"/>
    <w:rsid w:val="00B31DD2"/>
    <w:rsid w:val="00B345B7"/>
    <w:rsid w:val="00B35903"/>
    <w:rsid w:val="00B36FB7"/>
    <w:rsid w:val="00B41448"/>
    <w:rsid w:val="00B41E8A"/>
    <w:rsid w:val="00B43417"/>
    <w:rsid w:val="00B438AC"/>
    <w:rsid w:val="00B4584B"/>
    <w:rsid w:val="00B477F9"/>
    <w:rsid w:val="00B50D7E"/>
    <w:rsid w:val="00B53072"/>
    <w:rsid w:val="00B5419A"/>
    <w:rsid w:val="00B5449A"/>
    <w:rsid w:val="00B61E11"/>
    <w:rsid w:val="00B63655"/>
    <w:rsid w:val="00B63AB3"/>
    <w:rsid w:val="00B64D70"/>
    <w:rsid w:val="00B656A1"/>
    <w:rsid w:val="00B66F90"/>
    <w:rsid w:val="00B674A1"/>
    <w:rsid w:val="00B703C9"/>
    <w:rsid w:val="00B7134B"/>
    <w:rsid w:val="00B731D6"/>
    <w:rsid w:val="00B821DE"/>
    <w:rsid w:val="00B82726"/>
    <w:rsid w:val="00B833A9"/>
    <w:rsid w:val="00B834A4"/>
    <w:rsid w:val="00B90A50"/>
    <w:rsid w:val="00B90FDB"/>
    <w:rsid w:val="00B9208C"/>
    <w:rsid w:val="00B950AD"/>
    <w:rsid w:val="00B95DA2"/>
    <w:rsid w:val="00B95FD7"/>
    <w:rsid w:val="00B96443"/>
    <w:rsid w:val="00B97F96"/>
    <w:rsid w:val="00BA0A69"/>
    <w:rsid w:val="00BA0E8F"/>
    <w:rsid w:val="00BA13AF"/>
    <w:rsid w:val="00BA1CAF"/>
    <w:rsid w:val="00BA1E66"/>
    <w:rsid w:val="00BA26AD"/>
    <w:rsid w:val="00BA45C8"/>
    <w:rsid w:val="00BA56B2"/>
    <w:rsid w:val="00BA7CDF"/>
    <w:rsid w:val="00BB2926"/>
    <w:rsid w:val="00BB2E6F"/>
    <w:rsid w:val="00BB41ED"/>
    <w:rsid w:val="00BB72C0"/>
    <w:rsid w:val="00BC1577"/>
    <w:rsid w:val="00BC55F9"/>
    <w:rsid w:val="00BC640A"/>
    <w:rsid w:val="00BC6626"/>
    <w:rsid w:val="00BC66CE"/>
    <w:rsid w:val="00BC7477"/>
    <w:rsid w:val="00BD2899"/>
    <w:rsid w:val="00BD29BB"/>
    <w:rsid w:val="00BD3D93"/>
    <w:rsid w:val="00BD4231"/>
    <w:rsid w:val="00BD5057"/>
    <w:rsid w:val="00BD52BB"/>
    <w:rsid w:val="00BD5A14"/>
    <w:rsid w:val="00BD686D"/>
    <w:rsid w:val="00BD70E2"/>
    <w:rsid w:val="00BD7316"/>
    <w:rsid w:val="00BD7E43"/>
    <w:rsid w:val="00BE15E8"/>
    <w:rsid w:val="00BE25D0"/>
    <w:rsid w:val="00BE75EC"/>
    <w:rsid w:val="00BF0B09"/>
    <w:rsid w:val="00BF1736"/>
    <w:rsid w:val="00BF2196"/>
    <w:rsid w:val="00BF3781"/>
    <w:rsid w:val="00BF3DC8"/>
    <w:rsid w:val="00C01406"/>
    <w:rsid w:val="00C02B24"/>
    <w:rsid w:val="00C04B4D"/>
    <w:rsid w:val="00C04F56"/>
    <w:rsid w:val="00C06848"/>
    <w:rsid w:val="00C06D48"/>
    <w:rsid w:val="00C10904"/>
    <w:rsid w:val="00C11D11"/>
    <w:rsid w:val="00C11EF0"/>
    <w:rsid w:val="00C14198"/>
    <w:rsid w:val="00C15773"/>
    <w:rsid w:val="00C177A5"/>
    <w:rsid w:val="00C2063A"/>
    <w:rsid w:val="00C23924"/>
    <w:rsid w:val="00C24075"/>
    <w:rsid w:val="00C25A7E"/>
    <w:rsid w:val="00C27A45"/>
    <w:rsid w:val="00C31D1A"/>
    <w:rsid w:val="00C320CF"/>
    <w:rsid w:val="00C32576"/>
    <w:rsid w:val="00C3282F"/>
    <w:rsid w:val="00C345D5"/>
    <w:rsid w:val="00C35ACB"/>
    <w:rsid w:val="00C366A8"/>
    <w:rsid w:val="00C37E07"/>
    <w:rsid w:val="00C42234"/>
    <w:rsid w:val="00C43217"/>
    <w:rsid w:val="00C43338"/>
    <w:rsid w:val="00C443D8"/>
    <w:rsid w:val="00C44EE9"/>
    <w:rsid w:val="00C45579"/>
    <w:rsid w:val="00C46021"/>
    <w:rsid w:val="00C46254"/>
    <w:rsid w:val="00C50F30"/>
    <w:rsid w:val="00C51131"/>
    <w:rsid w:val="00C51D49"/>
    <w:rsid w:val="00C54A3D"/>
    <w:rsid w:val="00C553F8"/>
    <w:rsid w:val="00C55F56"/>
    <w:rsid w:val="00C56F67"/>
    <w:rsid w:val="00C57A6A"/>
    <w:rsid w:val="00C61DF8"/>
    <w:rsid w:val="00C642F6"/>
    <w:rsid w:val="00C655E0"/>
    <w:rsid w:val="00C65842"/>
    <w:rsid w:val="00C70ABC"/>
    <w:rsid w:val="00C71D35"/>
    <w:rsid w:val="00C74E17"/>
    <w:rsid w:val="00C764A3"/>
    <w:rsid w:val="00C80AB2"/>
    <w:rsid w:val="00C81495"/>
    <w:rsid w:val="00C823FD"/>
    <w:rsid w:val="00C85FA9"/>
    <w:rsid w:val="00C86245"/>
    <w:rsid w:val="00C91948"/>
    <w:rsid w:val="00C92380"/>
    <w:rsid w:val="00C94CD6"/>
    <w:rsid w:val="00C969CD"/>
    <w:rsid w:val="00CA3978"/>
    <w:rsid w:val="00CA6CBA"/>
    <w:rsid w:val="00CB50D1"/>
    <w:rsid w:val="00CB5AC0"/>
    <w:rsid w:val="00CB60A5"/>
    <w:rsid w:val="00CB7369"/>
    <w:rsid w:val="00CC3230"/>
    <w:rsid w:val="00CC5421"/>
    <w:rsid w:val="00CD2266"/>
    <w:rsid w:val="00CD3602"/>
    <w:rsid w:val="00CD6D9C"/>
    <w:rsid w:val="00CD7020"/>
    <w:rsid w:val="00CD7567"/>
    <w:rsid w:val="00CE1B2D"/>
    <w:rsid w:val="00CE1CB4"/>
    <w:rsid w:val="00CE6474"/>
    <w:rsid w:val="00CF0892"/>
    <w:rsid w:val="00CF2879"/>
    <w:rsid w:val="00CF5ED4"/>
    <w:rsid w:val="00CF77E9"/>
    <w:rsid w:val="00D001AA"/>
    <w:rsid w:val="00D014C0"/>
    <w:rsid w:val="00D03CC4"/>
    <w:rsid w:val="00D067DD"/>
    <w:rsid w:val="00D105C6"/>
    <w:rsid w:val="00D1118E"/>
    <w:rsid w:val="00D117BC"/>
    <w:rsid w:val="00D12322"/>
    <w:rsid w:val="00D20112"/>
    <w:rsid w:val="00D2081D"/>
    <w:rsid w:val="00D2134A"/>
    <w:rsid w:val="00D2157B"/>
    <w:rsid w:val="00D22287"/>
    <w:rsid w:val="00D2303B"/>
    <w:rsid w:val="00D241F7"/>
    <w:rsid w:val="00D2458A"/>
    <w:rsid w:val="00D260F5"/>
    <w:rsid w:val="00D26CA2"/>
    <w:rsid w:val="00D313A9"/>
    <w:rsid w:val="00D3158E"/>
    <w:rsid w:val="00D31CD4"/>
    <w:rsid w:val="00D337FB"/>
    <w:rsid w:val="00D37480"/>
    <w:rsid w:val="00D4064B"/>
    <w:rsid w:val="00D4241E"/>
    <w:rsid w:val="00D4252F"/>
    <w:rsid w:val="00D4740E"/>
    <w:rsid w:val="00D54E16"/>
    <w:rsid w:val="00D56AFE"/>
    <w:rsid w:val="00D57E55"/>
    <w:rsid w:val="00D61502"/>
    <w:rsid w:val="00D6512D"/>
    <w:rsid w:val="00D65F71"/>
    <w:rsid w:val="00D719FC"/>
    <w:rsid w:val="00D71ACC"/>
    <w:rsid w:val="00D734A5"/>
    <w:rsid w:val="00D7558F"/>
    <w:rsid w:val="00D766F3"/>
    <w:rsid w:val="00D8026B"/>
    <w:rsid w:val="00D838FB"/>
    <w:rsid w:val="00D84791"/>
    <w:rsid w:val="00D85C9F"/>
    <w:rsid w:val="00D878CF"/>
    <w:rsid w:val="00D932FD"/>
    <w:rsid w:val="00D956DB"/>
    <w:rsid w:val="00D95982"/>
    <w:rsid w:val="00D95A3F"/>
    <w:rsid w:val="00D95FC3"/>
    <w:rsid w:val="00DA06C4"/>
    <w:rsid w:val="00DA15E1"/>
    <w:rsid w:val="00DA2A5A"/>
    <w:rsid w:val="00DA2AF9"/>
    <w:rsid w:val="00DA454D"/>
    <w:rsid w:val="00DA5B72"/>
    <w:rsid w:val="00DB0D7B"/>
    <w:rsid w:val="00DB10F6"/>
    <w:rsid w:val="00DB4469"/>
    <w:rsid w:val="00DB50AA"/>
    <w:rsid w:val="00DC03A5"/>
    <w:rsid w:val="00DC0EB1"/>
    <w:rsid w:val="00DC1DC1"/>
    <w:rsid w:val="00DC2543"/>
    <w:rsid w:val="00DC3A05"/>
    <w:rsid w:val="00DC59C4"/>
    <w:rsid w:val="00DC6D8D"/>
    <w:rsid w:val="00DC787B"/>
    <w:rsid w:val="00DD2059"/>
    <w:rsid w:val="00DD2C32"/>
    <w:rsid w:val="00DD4FC0"/>
    <w:rsid w:val="00DD64B7"/>
    <w:rsid w:val="00DD6DF9"/>
    <w:rsid w:val="00DE18F4"/>
    <w:rsid w:val="00DE2F2C"/>
    <w:rsid w:val="00DE3710"/>
    <w:rsid w:val="00DE37B0"/>
    <w:rsid w:val="00DE66A2"/>
    <w:rsid w:val="00DF0200"/>
    <w:rsid w:val="00DF04FC"/>
    <w:rsid w:val="00DF2A04"/>
    <w:rsid w:val="00DF50B9"/>
    <w:rsid w:val="00DF5751"/>
    <w:rsid w:val="00DF5A14"/>
    <w:rsid w:val="00DF7F1D"/>
    <w:rsid w:val="00E0040C"/>
    <w:rsid w:val="00E01588"/>
    <w:rsid w:val="00E01973"/>
    <w:rsid w:val="00E0295B"/>
    <w:rsid w:val="00E03A02"/>
    <w:rsid w:val="00E07DC2"/>
    <w:rsid w:val="00E11236"/>
    <w:rsid w:val="00E1132C"/>
    <w:rsid w:val="00E116A1"/>
    <w:rsid w:val="00E13F3F"/>
    <w:rsid w:val="00E14728"/>
    <w:rsid w:val="00E15817"/>
    <w:rsid w:val="00E205F6"/>
    <w:rsid w:val="00E22226"/>
    <w:rsid w:val="00E25DBD"/>
    <w:rsid w:val="00E27D06"/>
    <w:rsid w:val="00E32E72"/>
    <w:rsid w:val="00E348B9"/>
    <w:rsid w:val="00E355D2"/>
    <w:rsid w:val="00E3686A"/>
    <w:rsid w:val="00E40E0E"/>
    <w:rsid w:val="00E42270"/>
    <w:rsid w:val="00E43D9B"/>
    <w:rsid w:val="00E45FC2"/>
    <w:rsid w:val="00E46690"/>
    <w:rsid w:val="00E47F28"/>
    <w:rsid w:val="00E50975"/>
    <w:rsid w:val="00E54695"/>
    <w:rsid w:val="00E550C9"/>
    <w:rsid w:val="00E55687"/>
    <w:rsid w:val="00E55C6B"/>
    <w:rsid w:val="00E56AC0"/>
    <w:rsid w:val="00E57765"/>
    <w:rsid w:val="00E5787D"/>
    <w:rsid w:val="00E61147"/>
    <w:rsid w:val="00E64E02"/>
    <w:rsid w:val="00E71799"/>
    <w:rsid w:val="00E72A6E"/>
    <w:rsid w:val="00E7549B"/>
    <w:rsid w:val="00E75B9C"/>
    <w:rsid w:val="00E76781"/>
    <w:rsid w:val="00E80B6F"/>
    <w:rsid w:val="00E81240"/>
    <w:rsid w:val="00E816EB"/>
    <w:rsid w:val="00E825A0"/>
    <w:rsid w:val="00E840FF"/>
    <w:rsid w:val="00E84A76"/>
    <w:rsid w:val="00E97FF6"/>
    <w:rsid w:val="00EA17F6"/>
    <w:rsid w:val="00EA19A0"/>
    <w:rsid w:val="00EA22C2"/>
    <w:rsid w:val="00EA2A55"/>
    <w:rsid w:val="00EA2AAE"/>
    <w:rsid w:val="00EA2E16"/>
    <w:rsid w:val="00EA4440"/>
    <w:rsid w:val="00EA53CD"/>
    <w:rsid w:val="00EA54F1"/>
    <w:rsid w:val="00EA59B4"/>
    <w:rsid w:val="00EA650C"/>
    <w:rsid w:val="00EA7320"/>
    <w:rsid w:val="00EB3A5E"/>
    <w:rsid w:val="00EB5949"/>
    <w:rsid w:val="00EB62B3"/>
    <w:rsid w:val="00EB6329"/>
    <w:rsid w:val="00EB749F"/>
    <w:rsid w:val="00EB7617"/>
    <w:rsid w:val="00EB761B"/>
    <w:rsid w:val="00EC3AE2"/>
    <w:rsid w:val="00EC3D67"/>
    <w:rsid w:val="00EC4889"/>
    <w:rsid w:val="00EC5851"/>
    <w:rsid w:val="00EC7E8A"/>
    <w:rsid w:val="00ED0E12"/>
    <w:rsid w:val="00ED2CC2"/>
    <w:rsid w:val="00ED33EC"/>
    <w:rsid w:val="00EE0154"/>
    <w:rsid w:val="00EF0440"/>
    <w:rsid w:val="00EF053E"/>
    <w:rsid w:val="00EF0C1C"/>
    <w:rsid w:val="00EF3EFE"/>
    <w:rsid w:val="00EF4F6D"/>
    <w:rsid w:val="00EF579E"/>
    <w:rsid w:val="00EF6D68"/>
    <w:rsid w:val="00EF78E1"/>
    <w:rsid w:val="00F008BE"/>
    <w:rsid w:val="00F00D0B"/>
    <w:rsid w:val="00F06532"/>
    <w:rsid w:val="00F11421"/>
    <w:rsid w:val="00F12260"/>
    <w:rsid w:val="00F12EBD"/>
    <w:rsid w:val="00F13273"/>
    <w:rsid w:val="00F20336"/>
    <w:rsid w:val="00F258F2"/>
    <w:rsid w:val="00F26199"/>
    <w:rsid w:val="00F27889"/>
    <w:rsid w:val="00F32454"/>
    <w:rsid w:val="00F3254D"/>
    <w:rsid w:val="00F327FC"/>
    <w:rsid w:val="00F32B0F"/>
    <w:rsid w:val="00F34B15"/>
    <w:rsid w:val="00F35685"/>
    <w:rsid w:val="00F37963"/>
    <w:rsid w:val="00F4274E"/>
    <w:rsid w:val="00F43C36"/>
    <w:rsid w:val="00F44A67"/>
    <w:rsid w:val="00F457E7"/>
    <w:rsid w:val="00F4602B"/>
    <w:rsid w:val="00F4616B"/>
    <w:rsid w:val="00F46325"/>
    <w:rsid w:val="00F50F64"/>
    <w:rsid w:val="00F51688"/>
    <w:rsid w:val="00F51D5C"/>
    <w:rsid w:val="00F5288E"/>
    <w:rsid w:val="00F53261"/>
    <w:rsid w:val="00F54B25"/>
    <w:rsid w:val="00F56F43"/>
    <w:rsid w:val="00F57DD7"/>
    <w:rsid w:val="00F60160"/>
    <w:rsid w:val="00F60FBD"/>
    <w:rsid w:val="00F616FD"/>
    <w:rsid w:val="00F6198D"/>
    <w:rsid w:val="00F62F7E"/>
    <w:rsid w:val="00F64D90"/>
    <w:rsid w:val="00F65B72"/>
    <w:rsid w:val="00F66C9D"/>
    <w:rsid w:val="00F67430"/>
    <w:rsid w:val="00F71F82"/>
    <w:rsid w:val="00F7201B"/>
    <w:rsid w:val="00F73A28"/>
    <w:rsid w:val="00F81DA0"/>
    <w:rsid w:val="00F8234E"/>
    <w:rsid w:val="00F8445B"/>
    <w:rsid w:val="00F8474B"/>
    <w:rsid w:val="00F85426"/>
    <w:rsid w:val="00F85C0B"/>
    <w:rsid w:val="00F86E20"/>
    <w:rsid w:val="00F87197"/>
    <w:rsid w:val="00F878AA"/>
    <w:rsid w:val="00F925F6"/>
    <w:rsid w:val="00F92C01"/>
    <w:rsid w:val="00F93EEC"/>
    <w:rsid w:val="00F94FD0"/>
    <w:rsid w:val="00F96657"/>
    <w:rsid w:val="00FA36F1"/>
    <w:rsid w:val="00FA39BB"/>
    <w:rsid w:val="00FA7479"/>
    <w:rsid w:val="00FB1632"/>
    <w:rsid w:val="00FB62DB"/>
    <w:rsid w:val="00FB6FAF"/>
    <w:rsid w:val="00FC1C3A"/>
    <w:rsid w:val="00FC7041"/>
    <w:rsid w:val="00FC74A8"/>
    <w:rsid w:val="00FD2D1D"/>
    <w:rsid w:val="00FD61FF"/>
    <w:rsid w:val="00FD6812"/>
    <w:rsid w:val="00FD76ED"/>
    <w:rsid w:val="00FE1B1D"/>
    <w:rsid w:val="00FE4CD9"/>
    <w:rsid w:val="00FE4D7E"/>
    <w:rsid w:val="00FE5957"/>
    <w:rsid w:val="00FE59A6"/>
    <w:rsid w:val="00FE6ECC"/>
    <w:rsid w:val="00FE7596"/>
    <w:rsid w:val="00FF4872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4022E-6930-47FE-86F9-F0389404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9C"/>
    <w:pPr>
      <w:spacing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CBA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78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578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semiHidden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661F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B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BD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4CB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Hipercze">
    <w:name w:val="Hyperlink"/>
    <w:rsid w:val="004A0C2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A0C29"/>
    <w:pPr>
      <w:spacing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C29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4A0C29"/>
    <w:rPr>
      <w:rFonts w:cs="Times New Roman"/>
      <w:vertAlign w:val="superscript"/>
    </w:rPr>
  </w:style>
  <w:style w:type="character" w:customStyle="1" w:styleId="apple-converted-space">
    <w:name w:val="apple-converted-space"/>
    <w:rsid w:val="004A0C29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046A8"/>
    <w:rPr>
      <w:color w:val="800080" w:themeColor="followedHyperlink"/>
      <w:u w:val="single"/>
    </w:rPr>
  </w:style>
  <w:style w:type="character" w:customStyle="1" w:styleId="h1">
    <w:name w:val="h1"/>
    <w:basedOn w:val="Domylnaczcionkaakapitu"/>
    <w:rsid w:val="0050532F"/>
  </w:style>
  <w:style w:type="character" w:customStyle="1" w:styleId="Formularznormalny">
    <w:name w:val="Formularz normalny"/>
    <w:uiPriority w:val="1"/>
    <w:qFormat/>
    <w:rsid w:val="004204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6B086-79D6-4857-9D72-F8A537C3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3026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Chmielewska-Biskup, Iwona</cp:lastModifiedBy>
  <cp:revision>4</cp:revision>
  <cp:lastPrinted>2017-04-04T10:07:00Z</cp:lastPrinted>
  <dcterms:created xsi:type="dcterms:W3CDTF">2017-05-23T06:18:00Z</dcterms:created>
  <dcterms:modified xsi:type="dcterms:W3CDTF">2017-05-23T06:32:00Z</dcterms:modified>
</cp:coreProperties>
</file>